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5"/>
        <w:ind w:left="34"/>
        <w:jc w:val="center"/>
        <w:rPr>
          <w:u w:val="single"/>
          <w:lang w:val="ru-RU"/>
        </w:rPr>
      </w:pPr>
      <w:r>
        <w:rPr>
          <w:u w:val="single"/>
          <w:lang w:val="ru-RU"/>
        </w:rPr>
        <w:t xml:space="preserve">ПАО «</w:t>
      </w:r>
      <w:r>
        <w:rPr>
          <w:u w:val="single"/>
          <w:lang w:val="ru-RU"/>
        </w:rPr>
        <w:t xml:space="preserve">Россети Центр</w:t>
      </w:r>
      <w:r>
        <w:rPr>
          <w:u w:val="single"/>
          <w:lang w:val="ru-RU"/>
        </w:rPr>
        <w:t xml:space="preserve">» </w:t>
      </w:r>
      <w:r/>
    </w:p>
    <w:p>
      <w:pPr>
        <w:pStyle w:val="755"/>
        <w:ind w:left="34"/>
        <w:jc w:val="center"/>
        <w:rPr>
          <w:caps/>
          <w:lang w:val="ru-RU"/>
        </w:rPr>
      </w:pPr>
      <w:r>
        <w:rPr>
          <w:caps/>
          <w:lang w:val="ru-RU"/>
        </w:rPr>
      </w:r>
      <w:r/>
    </w:p>
    <w:p>
      <w:r/>
      <w:r/>
    </w:p>
    <w:tbl>
      <w:tblPr>
        <w:tblW w:w="9639" w:type="dxa"/>
        <w:tblLook w:val="04A0" w:firstRow="1" w:lastRow="0" w:firstColumn="1" w:lastColumn="0" w:noHBand="0" w:noVBand="1"/>
      </w:tblPr>
      <w:tblGrid>
        <w:gridCol w:w="5529"/>
        <w:gridCol w:w="4110"/>
      </w:tblGrid>
      <w:tr>
        <w:trPr/>
        <w:tc>
          <w:tcPr>
            <w:tcW w:w="5529" w:type="dxa"/>
            <w:textDirection w:val="lrTb"/>
            <w:noWrap w:val="false"/>
          </w:tcPr>
          <w:p>
            <w:pPr>
              <w:ind w:left="34"/>
              <w:keepLines/>
              <w:rPr>
                <w:sz w:val="24"/>
                <w:szCs w:val="24"/>
                <w:shd w:val="clear" w:color="auto" w:fill="ffffff"/>
              </w:rPr>
              <w:suppressLineNumbers/>
            </w:pPr>
            <w:r>
              <w:rPr>
                <w:sz w:val="24"/>
                <w:szCs w:val="24"/>
                <w:shd w:val="clear" w:color="auto" w:fill="ffffff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  <w:t xml:space="preserve">УТВЕРЖДАЮ:</w:t>
            </w:r>
            <w:r/>
          </w:p>
          <w:p>
            <w:pPr>
              <w:ind w:right="-66"/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  <w:t xml:space="preserve">Заместитель генерального директора по взаимодействию с</w:t>
            </w:r>
            <w:r>
              <w:rPr>
                <w:sz w:val="26"/>
                <w:szCs w:val="26"/>
                <w:shd w:val="clear" w:color="auto" w:fill="ffffff"/>
              </w:rPr>
              <w:t xml:space="preserve"> </w:t>
            </w:r>
            <w:r>
              <w:rPr>
                <w:sz w:val="26"/>
                <w:szCs w:val="26"/>
                <w:shd w:val="clear" w:color="auto" w:fill="ffffff"/>
              </w:rPr>
              <w:t xml:space="preserve">клиентами и ра</w:t>
            </w:r>
            <w:r>
              <w:rPr>
                <w:sz w:val="26"/>
                <w:szCs w:val="26"/>
                <w:shd w:val="clear" w:color="auto" w:fill="ffffff"/>
              </w:rPr>
              <w:t xml:space="preserve">звитию дополнительных услуг, </w:t>
            </w:r>
            <w:r>
              <w:rPr>
                <w:sz w:val="26"/>
                <w:szCs w:val="26"/>
                <w:shd w:val="clear" w:color="auto" w:fill="ffffff"/>
              </w:rPr>
              <w:t xml:space="preserve">и.</w:t>
            </w:r>
            <w:r>
              <w:rPr>
                <w:sz w:val="26"/>
                <w:szCs w:val="26"/>
                <w:shd w:val="clear" w:color="auto" w:fill="ffffff"/>
              </w:rPr>
              <w:t xml:space="preserve">о</w:t>
            </w:r>
            <w:r>
              <w:rPr>
                <w:sz w:val="26"/>
                <w:szCs w:val="26"/>
                <w:shd w:val="clear" w:color="auto" w:fill="ffffff"/>
              </w:rPr>
              <w:t xml:space="preserve">. заместителя генерального директора по</w:t>
            </w:r>
            <w:r>
              <w:rPr>
                <w:sz w:val="26"/>
                <w:szCs w:val="26"/>
                <w:shd w:val="clear" w:color="auto" w:fill="ffffff"/>
              </w:rPr>
              <w:t xml:space="preserve"> </w:t>
            </w:r>
            <w:r>
              <w:rPr>
                <w:sz w:val="26"/>
                <w:szCs w:val="26"/>
                <w:shd w:val="clear" w:color="auto" w:fill="ffffff"/>
              </w:rPr>
              <w:t xml:space="preserve">КиТАСУ</w:t>
            </w:r>
            <w:r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  <w:r/>
          </w:p>
          <w:p>
            <w:pPr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</w:r>
            <w:r/>
          </w:p>
          <w:p>
            <w:pPr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</w:r>
            <w:r/>
          </w:p>
          <w:p>
            <w:pPr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  <w:t xml:space="preserve">______________ Михайленко К.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 xml:space="preserve">C</w:t>
            </w:r>
            <w:r>
              <w:rPr>
                <w:sz w:val="26"/>
                <w:szCs w:val="26"/>
                <w:shd w:val="clear" w:color="auto" w:fill="ffffff"/>
              </w:rPr>
              <w:t xml:space="preserve">.</w:t>
            </w:r>
            <w:r/>
          </w:p>
          <w:p>
            <w:pPr>
              <w:keepLines/>
              <w:rPr>
                <w:sz w:val="26"/>
                <w:szCs w:val="26"/>
                <w:shd w:val="clear" w:color="auto" w:fill="ffffff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</w:r>
            <w:r/>
          </w:p>
          <w:p>
            <w:pPr>
              <w:keepLines/>
              <w:rPr>
                <w:color w:val="000000"/>
                <w:sz w:val="26"/>
                <w:szCs w:val="26"/>
              </w:rPr>
              <w:suppressLineNumbers/>
            </w:pPr>
            <w:r>
              <w:rPr>
                <w:sz w:val="26"/>
                <w:szCs w:val="26"/>
                <w:shd w:val="clear" w:color="auto" w:fill="ffffff"/>
              </w:rPr>
              <w:t xml:space="preserve">«___» __________________ 202</w:t>
            </w:r>
            <w:r>
              <w:rPr>
                <w:sz w:val="26"/>
                <w:szCs w:val="26"/>
                <w:shd w:val="clear" w:color="auto" w:fill="ffffff"/>
              </w:rPr>
              <w:t xml:space="preserve">3</w:t>
            </w:r>
            <w:r>
              <w:rPr>
                <w:sz w:val="26"/>
                <w:szCs w:val="26"/>
                <w:shd w:val="clear" w:color="auto" w:fill="ffffff"/>
              </w:rPr>
              <w:t xml:space="preserve"> г.</w:t>
            </w:r>
            <w:r/>
          </w:p>
        </w:tc>
      </w:tr>
    </w:tbl>
    <w:p>
      <w:pPr>
        <w:pStyle w:val="772"/>
        <w:ind w:left="34"/>
        <w:jc w:val="center"/>
      </w:pPr>
      <w:r/>
      <w:bookmarkStart w:id="0" w:name="_Toc287003542"/>
      <w:r/>
      <w:bookmarkStart w:id="1" w:name="_Toc287003611"/>
      <w:r/>
      <w:bookmarkStart w:id="2" w:name="_Toc287003859"/>
      <w:r/>
      <w:bookmarkStart w:id="3" w:name="_Toc287003922"/>
      <w:r/>
      <w:bookmarkStart w:id="4" w:name="_Toc287014315"/>
      <w:r/>
      <w:r/>
    </w:p>
    <w:p>
      <w:pPr>
        <w:pStyle w:val="772"/>
        <w:ind w:left="34"/>
        <w:jc w:val="center"/>
      </w:pPr>
      <w:r/>
      <w:r/>
    </w:p>
    <w:p>
      <w:pPr>
        <w:pStyle w:val="772"/>
        <w:ind w:left="34"/>
        <w:jc w:val="center"/>
      </w:pPr>
      <w:r/>
      <w:r/>
    </w:p>
    <w:p>
      <w:pPr>
        <w:pStyle w:val="772"/>
        <w:ind w:left="34"/>
        <w:jc w:val="center"/>
      </w:pPr>
      <w:r/>
      <w:r/>
    </w:p>
    <w:p>
      <w:pPr>
        <w:pStyle w:val="772"/>
        <w:ind w:left="34"/>
        <w:jc w:val="center"/>
      </w:pPr>
      <w:r/>
      <w:r/>
    </w:p>
    <w:p>
      <w:pPr>
        <w:jc w:val="center"/>
        <w:keepLines/>
        <w:tabs>
          <w:tab w:val="left" w:pos="0" w:leader="none"/>
        </w:tabs>
        <w:suppressLineNumbers/>
      </w:pPr>
      <w:r>
        <w:t xml:space="preserve">ТЕХНИЧЕСКОЕ ЗАДАНИЕ</w:t>
      </w:r>
      <w:r>
        <w:t xml:space="preserve"> №</w:t>
      </w:r>
      <w:r>
        <w:t xml:space="preserve"> 5</w:t>
      </w:r>
      <w:r>
        <w:t xml:space="preserve">_77_</w:t>
      </w:r>
      <w:r>
        <w:t xml:space="preserve">32</w:t>
      </w:r>
      <w:r>
        <w:t xml:space="preserve">7</w:t>
      </w:r>
      <w:bookmarkEnd w:id="0"/>
      <w:bookmarkEnd w:id="1"/>
      <w:bookmarkEnd w:id="2"/>
      <w:bookmarkEnd w:id="3"/>
      <w:bookmarkEnd w:id="4"/>
      <w:r/>
    </w:p>
    <w:p>
      <w:pPr>
        <w:pStyle w:val="772"/>
        <w:ind w:left="34"/>
        <w:jc w:val="center"/>
        <w:rPr>
          <w:sz w:val="24"/>
        </w:rPr>
      </w:pPr>
      <w:r>
        <w:rPr>
          <w:sz w:val="24"/>
        </w:rPr>
      </w:r>
      <w:r/>
    </w:p>
    <w:p>
      <w:pPr>
        <w:pStyle w:val="772"/>
        <w:ind w:left="34"/>
        <w:jc w:val="center"/>
        <w:rPr>
          <w:sz w:val="24"/>
        </w:rPr>
      </w:pPr>
      <w:r>
        <w:rPr>
          <w:sz w:val="24"/>
        </w:rPr>
        <w:t xml:space="preserve">на </w:t>
      </w:r>
      <w:r>
        <w:rPr>
          <w:sz w:val="24"/>
          <w:szCs w:val="24"/>
        </w:rPr>
        <w:t xml:space="preserve">поставку </w:t>
      </w:r>
      <w:r>
        <w:rPr>
          <w:sz w:val="24"/>
          <w:szCs w:val="24"/>
        </w:rPr>
        <w:t xml:space="preserve">неисключительных лицензий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использование программного обеспечения </w:t>
      </w:r>
      <w:r>
        <w:rPr>
          <w:sz w:val="24"/>
          <w:szCs w:val="24"/>
        </w:rPr>
        <w:t xml:space="preserve">Vinteo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для нужд филиалов ПАО 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>
        <w:rPr>
          <w:sz w:val="24"/>
        </w:rPr>
        <w:t xml:space="preserve"> </w:t>
      </w:r>
      <w:r/>
    </w:p>
    <w:p>
      <w:pPr>
        <w:ind w:left="34"/>
        <w:jc w:val="center"/>
        <w:keepLines/>
        <w:tabs>
          <w:tab w:val="left" w:pos="567" w:leader="none"/>
        </w:tabs>
        <w:rPr>
          <w:sz w:val="24"/>
          <w:szCs w:val="24"/>
        </w:rPr>
        <w:suppressLineNumbers/>
      </w:pPr>
      <w:r>
        <w:rPr>
          <w:sz w:val="24"/>
          <w:szCs w:val="24"/>
        </w:rPr>
      </w:r>
      <w:r/>
    </w:p>
    <w:p>
      <w:pPr>
        <w:pStyle w:val="755"/>
        <w:ind w:left="34"/>
        <w:rPr>
          <w:color w:val="auto"/>
          <w:lang w:val="ru-RU"/>
        </w:rPr>
      </w:pPr>
      <w:r>
        <w:rPr>
          <w:color w:val="auto"/>
          <w:lang w:val="ru-RU"/>
        </w:rPr>
      </w:r>
      <w:r/>
    </w:p>
    <w:p>
      <w:pPr>
        <w:pStyle w:val="755"/>
        <w:ind w:left="34"/>
        <w:rPr>
          <w:lang w:val="ru-RU"/>
        </w:rPr>
      </w:pPr>
      <w:r>
        <w:rPr>
          <w:lang w:val="ru-RU"/>
        </w:rPr>
      </w:r>
      <w:r/>
    </w:p>
    <w:p>
      <w:pPr>
        <w:pStyle w:val="755"/>
        <w:ind w:left="34"/>
        <w:rPr>
          <w:lang w:val="ru-RU"/>
        </w:rPr>
      </w:pPr>
      <w:r>
        <w:rPr>
          <w:lang w:val="ru-RU"/>
        </w:rPr>
      </w:r>
      <w:r/>
    </w:p>
    <w:p>
      <w:pPr>
        <w:pStyle w:val="755"/>
        <w:ind w:left="34"/>
        <w:rPr>
          <w:lang w:val="ru-RU"/>
        </w:rPr>
      </w:pPr>
      <w:r>
        <w:rPr>
          <w:lang w:val="ru-RU"/>
        </w:rPr>
      </w:r>
      <w:r/>
    </w:p>
    <w:p>
      <w:pPr>
        <w:pStyle w:val="755"/>
        <w:ind w:left="34"/>
        <w:rPr>
          <w:lang w:val="ru-RU"/>
        </w:rPr>
      </w:pPr>
      <w:r>
        <w:rPr>
          <w:lang w:val="ru-RU"/>
        </w:rPr>
      </w:r>
      <w:r/>
    </w:p>
    <w:p>
      <w:pPr>
        <w:pStyle w:val="755"/>
        <w:ind w:left="34"/>
        <w:rPr>
          <w:lang w:val="ru-RU"/>
        </w:rPr>
      </w:pPr>
      <w:r>
        <w:rPr>
          <w:lang w:val="ru-RU"/>
        </w:rPr>
      </w:r>
      <w:r/>
    </w:p>
    <w:p>
      <w:pPr>
        <w:ind w:left="34"/>
        <w:jc w:val="center"/>
        <w:rPr>
          <w:sz w:val="24"/>
          <w:szCs w:val="24"/>
        </w:rPr>
        <w:outlineLvl w:val="0"/>
      </w:pPr>
      <w:r>
        <w:rPr>
          <w:sz w:val="24"/>
          <w:szCs w:val="24"/>
        </w:rPr>
      </w:r>
      <w:r/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1"/>
        <w:gridCol w:w="993"/>
        <w:gridCol w:w="4115"/>
      </w:tblGrid>
      <w:tr>
        <w:trPr/>
        <w:tc>
          <w:tcPr>
            <w:tcW w:w="4531" w:type="dxa"/>
            <w:textDirection w:val="lrTb"/>
            <w:noWrap w:val="false"/>
          </w:tcPr>
          <w:p>
            <w:pPr>
              <w:pStyle w:val="7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786"/>
              <w:ind w:left="324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4115" w:type="dxa"/>
            <w:textDirection w:val="lrTb"/>
            <w:noWrap w:val="false"/>
          </w:tcPr>
          <w:p>
            <w:pPr>
              <w:pStyle w:val="786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СОГЛАСОВАНО: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И.о. н</w:t>
            </w:r>
            <w:r>
              <w:rPr>
                <w:sz w:val="26"/>
                <w:szCs w:val="26"/>
              </w:rPr>
              <w:t xml:space="preserve">ачальник</w:t>
            </w:r>
            <w:r>
              <w:rPr>
                <w:sz w:val="26"/>
                <w:szCs w:val="26"/>
              </w:rPr>
              <w:t xml:space="preserve">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Департамента</w:t>
            </w:r>
            <w:r/>
          </w:p>
          <w:p>
            <w:pPr>
              <w:pStyle w:val="786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информационных технологий </w:t>
            </w:r>
            <w:r>
              <w:rPr>
                <w:sz w:val="26"/>
                <w:szCs w:val="26"/>
              </w:rPr>
              <w:t xml:space="preserve">ПАО «Россети Центр»</w:t>
            </w:r>
            <w:r/>
          </w:p>
          <w:p>
            <w:pPr>
              <w:pStyle w:val="786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786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788"/>
              <w:jc w:val="righ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</w:t>
            </w:r>
            <w:r>
              <w:rPr>
                <w:sz w:val="26"/>
                <w:szCs w:val="26"/>
              </w:rPr>
              <w:t xml:space="preserve">____</w:t>
            </w:r>
            <w:r>
              <w:rPr>
                <w:sz w:val="26"/>
                <w:szCs w:val="26"/>
              </w:rPr>
              <w:t xml:space="preserve">_______</w:t>
            </w:r>
            <w:r>
              <w:rPr>
                <w:sz w:val="26"/>
                <w:szCs w:val="26"/>
              </w:rPr>
              <w:t xml:space="preserve">В.Н. Коровин</w:t>
            </w:r>
            <w:r/>
          </w:p>
          <w:p>
            <w:pPr>
              <w:pStyle w:val="788"/>
              <w:jc w:val="righ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788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 202</w:t>
            </w: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  <w:t xml:space="preserve"> г.</w:t>
            </w:r>
            <w:r/>
          </w:p>
        </w:tc>
      </w:tr>
    </w:tbl>
    <w:p>
      <w:pPr>
        <w:rPr>
          <w:lang w:eastAsia="ar-SA"/>
        </w:rPr>
      </w:pPr>
      <w:r>
        <w:rPr>
          <w:lang w:eastAsia="ar-SA"/>
        </w:rPr>
      </w:r>
      <w:r/>
    </w:p>
    <w:p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</w:r>
      <w:r/>
    </w:p>
    <w:p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</w:r>
      <w:r/>
    </w:p>
    <w:p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 xml:space="preserve">202</w:t>
      </w:r>
      <w:r>
        <w:rPr>
          <w:sz w:val="24"/>
          <w:lang w:eastAsia="ar-SA"/>
        </w:rPr>
        <w:t xml:space="preserve">3</w:t>
      </w:r>
      <w:r>
        <w:rPr>
          <w:sz w:val="24"/>
          <w:lang w:eastAsia="ar-SA"/>
        </w:rPr>
        <w:t xml:space="preserve"> </w:t>
      </w:r>
      <w:r>
        <w:rPr>
          <w:sz w:val="24"/>
          <w:lang w:eastAsia="ar-SA"/>
        </w:rPr>
        <w:t xml:space="preserve">г.</w:t>
      </w:r>
      <w:r/>
    </w:p>
    <w:p>
      <w:pPr>
        <w:ind w:left="34"/>
        <w:jc w:val="center"/>
        <w:spacing w:after="200" w:line="276" w:lineRule="auto"/>
        <w:rPr>
          <w:b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Содержание</w:t>
      </w:r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tooltip="#_Toc131426715" w:anchor="_Toc131426715" w:history="1">
        <w:r>
          <w:rPr>
            <w:rStyle w:val="739"/>
          </w:rPr>
          <w:t xml:space="preserve">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Общие данные</w:t>
        </w:r>
        <w:r>
          <w:tab/>
        </w:r>
        <w:r>
          <w:fldChar w:fldCharType="begin"/>
        </w:r>
        <w:r>
          <w:instrText xml:space="preserve"> PAGEREF _Toc131426715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16" w:anchor="_Toc131426716" w:history="1">
        <w:r>
          <w:rPr>
            <w:rStyle w:val="739"/>
          </w:rPr>
          <w:t xml:space="preserve">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Сроки начала/окончания поставки</w:t>
        </w:r>
        <w:r>
          <w:tab/>
        </w:r>
        <w:r>
          <w:fldChar w:fldCharType="begin"/>
        </w:r>
        <w:r>
          <w:instrText xml:space="preserve"> PAGEREF _Toc131426716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17" w:anchor="_Toc131426717" w:history="1">
        <w:r>
          <w:rPr>
            <w:rStyle w:val="739"/>
          </w:rPr>
          <w:t xml:space="preserve">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Адреса поставки</w:t>
        </w:r>
        <w:r>
          <w:tab/>
        </w:r>
        <w:r>
          <w:fldChar w:fldCharType="begin"/>
        </w:r>
        <w:r>
          <w:instrText xml:space="preserve"> PAGEREF _Toc131426717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18" w:anchor="_Toc131426718" w:history="1">
        <w:r>
          <w:rPr>
            <w:rStyle w:val="739"/>
          </w:rPr>
          <w:t xml:space="preserve">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Требования к приобретаемому программному обеспечению</w:t>
        </w:r>
        <w:r>
          <w:tab/>
        </w:r>
        <w:r>
          <w:fldChar w:fldCharType="begin"/>
        </w:r>
        <w:r>
          <w:instrText xml:space="preserve"> PAGEREF _Toc131426718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19" w:anchor="_Toc131426719" w:history="1">
        <w:r>
          <w:rPr>
            <w:rStyle w:val="739"/>
          </w:rPr>
          <w:t xml:space="preserve">5.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Требования к Поставщику</w:t>
        </w:r>
        <w:r>
          <w:tab/>
        </w:r>
        <w:r>
          <w:fldChar w:fldCharType="begin"/>
        </w:r>
        <w:r>
          <w:instrText xml:space="preserve"> PAGEREF _Toc131426719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20" w:anchor="_Toc131426720" w:history="1">
        <w:r>
          <w:rPr>
            <w:rStyle w:val="739"/>
          </w:rPr>
          <w:t xml:space="preserve">6.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Правила приёмки лицензий</w:t>
        </w:r>
        <w:r>
          <w:tab/>
        </w:r>
        <w:r>
          <w:fldChar w:fldCharType="begin"/>
        </w:r>
        <w:r>
          <w:instrText xml:space="preserve"> PAGEREF _Toc131426720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740"/>
        <w:tabs>
          <w:tab w:val="left" w:pos="440" w:leader="none"/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21" w:anchor="_Toc131426721" w:history="1">
        <w:r>
          <w:rPr>
            <w:rStyle w:val="739"/>
          </w:rPr>
          <w:t xml:space="preserve">7.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739"/>
          </w:rPr>
          <w:t xml:space="preserve">Стоимость и оплата</w:t>
        </w:r>
        <w:r>
          <w:tab/>
        </w:r>
        <w:r>
          <w:fldChar w:fldCharType="begin"/>
        </w:r>
        <w:r>
          <w:instrText xml:space="preserve"> PAGEREF _Toc131426721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740"/>
        <w:tabs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22" w:anchor="_Toc131426722" w:history="1">
        <w:r>
          <w:rPr>
            <w:rStyle w:val="739"/>
          </w:rPr>
          <w:t xml:space="preserve">Приложение № 1</w:t>
        </w:r>
        <w:r>
          <w:tab/>
        </w:r>
        <w:r>
          <w:fldChar w:fldCharType="begin"/>
        </w:r>
        <w:r>
          <w:instrText xml:space="preserve"> PAGEREF _Toc131426722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740"/>
        <w:tabs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23" w:anchor="_Toc131426723" w:history="1">
        <w:r>
          <w:rPr>
            <w:rStyle w:val="739"/>
          </w:rPr>
          <w:t xml:space="preserve">Приложение № 2</w:t>
        </w:r>
        <w:r>
          <w:tab/>
        </w:r>
        <w:r>
          <w:fldChar w:fldCharType="begin"/>
        </w:r>
        <w:r>
          <w:instrText xml:space="preserve"> PAGEREF _Toc131426723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740"/>
        <w:tabs>
          <w:tab w:val="right" w:pos="9798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1426724" w:anchor="_Toc131426724" w:history="1">
        <w:r>
          <w:rPr>
            <w:rStyle w:val="739"/>
          </w:rPr>
          <w:t xml:space="preserve">Приложение № 3</w:t>
        </w:r>
        <w:r>
          <w:tab/>
        </w:r>
        <w:r>
          <w:fldChar w:fldCharType="begin"/>
        </w:r>
        <w:r>
          <w:instrText xml:space="preserve"> PAGEREF _Toc131426724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728"/>
        <w:ind w:left="360"/>
        <w:spacing w:line="276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 w:clear="all"/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5" w:name="_Toc473118941"/>
      <w:r/>
      <w:bookmarkStart w:id="6" w:name="_Toc131426715"/>
      <w:r>
        <w:rPr>
          <w:rFonts w:ascii="Times New Roman" w:hAnsi="Times New Roman"/>
          <w:color w:val="auto"/>
          <w:sz w:val="26"/>
          <w:szCs w:val="26"/>
        </w:rPr>
        <w:t xml:space="preserve">Общие данные</w:t>
      </w:r>
      <w:bookmarkEnd w:id="5"/>
      <w:r/>
      <w:bookmarkEnd w:id="6"/>
      <w:r/>
      <w:r/>
    </w:p>
    <w:p>
      <w:pPr>
        <w:pStyle w:val="744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/>
      <w:bookmarkStart w:id="7" w:name="_Toc283041255"/>
      <w:r/>
      <w:bookmarkStart w:id="8" w:name="_Toc287003544"/>
      <w:r/>
      <w:bookmarkStart w:id="9" w:name="_Toc287003613"/>
      <w:r/>
      <w:bookmarkStart w:id="10" w:name="_Toc287003861"/>
      <w:r/>
      <w:bookmarkStart w:id="11" w:name="_Toc287003924"/>
      <w:r/>
      <w:bookmarkStart w:id="12" w:name="_Toc287014317"/>
      <w:r>
        <w:rPr>
          <w:b w:val="0"/>
          <w:sz w:val="26"/>
          <w:szCs w:val="26"/>
        </w:rPr>
        <w:t xml:space="preserve">В настоящем документе представлено техническое задание (далее – ТЗ) на </w:t>
      </w:r>
      <w:r>
        <w:rPr>
          <w:b w:val="0"/>
          <w:sz w:val="26"/>
          <w:szCs w:val="26"/>
        </w:rPr>
        <w:t xml:space="preserve">поставку </w:t>
      </w:r>
      <w:r>
        <w:rPr>
          <w:b w:val="0"/>
          <w:sz w:val="26"/>
          <w:szCs w:val="26"/>
        </w:rPr>
        <w:t xml:space="preserve">неисключительных лицензий на использование программного обеспечения </w:t>
      </w:r>
      <w:r>
        <w:rPr>
          <w:b w:val="0"/>
          <w:sz w:val="26"/>
          <w:szCs w:val="26"/>
        </w:rPr>
        <w:t xml:space="preserve">Vinteo</w:t>
      </w:r>
      <w:r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для нужд </w:t>
      </w:r>
      <w:bookmarkEnd w:id="7"/>
      <w:r/>
      <w:bookmarkEnd w:id="8"/>
      <w:r/>
      <w:bookmarkEnd w:id="9"/>
      <w:r/>
      <w:bookmarkEnd w:id="10"/>
      <w:r/>
      <w:bookmarkEnd w:id="11"/>
      <w:r/>
      <w:bookmarkEnd w:id="12"/>
      <w:r>
        <w:rPr>
          <w:b w:val="0"/>
          <w:sz w:val="26"/>
          <w:szCs w:val="26"/>
        </w:rPr>
        <w:t xml:space="preserve">всех филиалов ПАО 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>
        <w:rPr>
          <w:b w:val="0"/>
          <w:sz w:val="26"/>
          <w:szCs w:val="26"/>
        </w:rPr>
        <w:t xml:space="preserve">.</w:t>
      </w:r>
      <w:r/>
    </w:p>
    <w:p>
      <w:pPr>
        <w:contextualSpacing/>
        <w:ind w:firstLine="567"/>
        <w:rPr>
          <w:sz w:val="26"/>
          <w:szCs w:val="26"/>
        </w:rPr>
      </w:pPr>
      <w:r>
        <w:rPr>
          <w:b/>
          <w:sz w:val="26"/>
          <w:szCs w:val="26"/>
        </w:rPr>
        <w:t xml:space="preserve">Заказчик</w:t>
      </w:r>
      <w:r>
        <w:rPr>
          <w:b/>
          <w:sz w:val="26"/>
          <w:szCs w:val="26"/>
        </w:rPr>
        <w:t xml:space="preserve">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ПАО «Россети Центр», 119017, г. Москва, улица Ордынка М., дом. 15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/>
    </w:p>
    <w:p>
      <w:pPr>
        <w:contextualSpacing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Поставщик</w:t>
      </w:r>
      <w:r>
        <w:rPr>
          <w:b/>
          <w:sz w:val="26"/>
          <w:szCs w:val="26"/>
        </w:rPr>
        <w:t xml:space="preserve">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определяется по итогам закупочной процедуры</w:t>
      </w:r>
      <w:r>
        <w:rPr>
          <w:sz w:val="26"/>
          <w:szCs w:val="26"/>
        </w:rPr>
        <w:t xml:space="preserve">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13" w:name="_Toc287003616"/>
      <w:r/>
      <w:bookmarkStart w:id="14" w:name="_Toc319666312"/>
      <w:r/>
      <w:bookmarkStart w:id="15" w:name="_Toc473118942"/>
      <w:r/>
      <w:bookmarkStart w:id="16" w:name="_Toc131426716"/>
      <w:r>
        <w:rPr>
          <w:rFonts w:ascii="Times New Roman" w:hAnsi="Times New Roman"/>
          <w:color w:val="auto"/>
          <w:sz w:val="26"/>
          <w:szCs w:val="26"/>
        </w:rPr>
        <w:t xml:space="preserve">Сроки начала</w:t>
      </w:r>
      <w:r>
        <w:rPr>
          <w:rFonts w:ascii="Times New Roman" w:hAnsi="Times New Roman"/>
          <w:color w:val="auto"/>
          <w:sz w:val="26"/>
          <w:szCs w:val="26"/>
        </w:rPr>
        <w:t xml:space="preserve">/окончания</w:t>
      </w:r>
      <w:r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r/>
      <w:bookmarkEnd w:id="14"/>
      <w:r>
        <w:rPr>
          <w:rFonts w:ascii="Times New Roman" w:hAnsi="Times New Roman"/>
          <w:color w:val="auto"/>
          <w:sz w:val="26"/>
          <w:szCs w:val="26"/>
        </w:rPr>
        <w:t xml:space="preserve">поставки</w:t>
      </w:r>
      <w:bookmarkEnd w:id="15"/>
      <w:r/>
      <w:bookmarkEnd w:id="16"/>
      <w:r/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Начало: </w:t>
      </w:r>
      <w:r>
        <w:rPr>
          <w:b w:val="0"/>
          <w:sz w:val="26"/>
          <w:szCs w:val="26"/>
        </w:rPr>
        <w:t xml:space="preserve">с момента заключения договора.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Окончание:</w:t>
      </w:r>
      <w:r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в течении </w:t>
      </w:r>
      <w:r>
        <w:rPr>
          <w:b w:val="0"/>
          <w:sz w:val="26"/>
          <w:szCs w:val="26"/>
        </w:rPr>
        <w:t xml:space="preserve">7</w:t>
      </w:r>
      <w:r>
        <w:rPr>
          <w:b w:val="0"/>
          <w:sz w:val="26"/>
          <w:szCs w:val="26"/>
        </w:rPr>
        <w:t xml:space="preserve"> (</w:t>
      </w:r>
      <w:r>
        <w:rPr>
          <w:b w:val="0"/>
          <w:sz w:val="26"/>
          <w:szCs w:val="26"/>
        </w:rPr>
        <w:t xml:space="preserve">семи</w:t>
      </w:r>
      <w:r>
        <w:rPr>
          <w:b w:val="0"/>
          <w:sz w:val="26"/>
          <w:szCs w:val="26"/>
        </w:rPr>
        <w:t xml:space="preserve">)</w:t>
      </w:r>
      <w:r>
        <w:rPr>
          <w:b w:val="0"/>
          <w:sz w:val="26"/>
          <w:szCs w:val="26"/>
        </w:rPr>
        <w:t xml:space="preserve"> календарных дней с момента заключения договора</w:t>
      </w:r>
      <w:r>
        <w:rPr>
          <w:b w:val="0"/>
          <w:sz w:val="26"/>
          <w:szCs w:val="26"/>
        </w:rPr>
        <w:t xml:space="preserve">.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Срок действия лицензий: в соответствии с Приложением к ТЗ</w:t>
      </w:r>
      <w:r>
        <w:rPr>
          <w:b w:val="0"/>
          <w:sz w:val="26"/>
          <w:szCs w:val="26"/>
        </w:rPr>
        <w:t xml:space="preserve">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17" w:name="_Toc131426717"/>
      <w:r>
        <w:rPr>
          <w:rFonts w:ascii="Times New Roman" w:hAnsi="Times New Roman"/>
          <w:color w:val="auto"/>
          <w:sz w:val="26"/>
          <w:szCs w:val="26"/>
        </w:rPr>
        <w:t xml:space="preserve">Адреса поставки</w:t>
      </w:r>
      <w:bookmarkEnd w:id="17"/>
      <w:r/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«Белгородэнерго»: 308600, г. Белгород, ул. Преображенская, д. 42;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«Брянскэнерго»: 241050, г. Брянск, ул. Советская, д. 35;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«Воронежэнерго»: 394033, г. Воронеж, ул. </w:t>
      </w:r>
      <w:r>
        <w:rPr>
          <w:b w:val="0"/>
          <w:sz w:val="26"/>
          <w:szCs w:val="26"/>
        </w:rPr>
        <w:t xml:space="preserve">Арзамасская</w:t>
      </w:r>
      <w:r>
        <w:rPr>
          <w:b w:val="0"/>
          <w:sz w:val="26"/>
          <w:szCs w:val="26"/>
        </w:rPr>
        <w:t xml:space="preserve">, 2;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«Костромаэнерго»: 156961, г. Кострома, проспект Мира, 53;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«Курскэнерго»: </w:t>
      </w:r>
      <w:r>
        <w:rPr>
          <w:b w:val="0"/>
          <w:sz w:val="26"/>
          <w:szCs w:val="26"/>
        </w:rPr>
        <w:t xml:space="preserve">305029, г</w:t>
      </w:r>
      <w:r>
        <w:rPr>
          <w:b w:val="0"/>
          <w:sz w:val="26"/>
          <w:szCs w:val="26"/>
        </w:rPr>
        <w:t xml:space="preserve">. Курск, ул. К. Маркса, 27;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«Липецкэнерго»: 398001, г. Липецк, ул. 50-лет НЛМК, 33;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«Орелэнерго»: 302030, г. Орел, пл. Мира, 2;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«Смоленскэнерго»: 214019, г. Смоленск, ул. Тенишевой, д. 33;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«Тамбовэнерго»: 392680, г. Тамбов, ул. </w:t>
      </w:r>
      <w:r>
        <w:rPr>
          <w:b w:val="0"/>
          <w:sz w:val="26"/>
          <w:szCs w:val="26"/>
        </w:rPr>
        <w:t xml:space="preserve">Моршанское</w:t>
      </w:r>
      <w:r>
        <w:rPr>
          <w:b w:val="0"/>
          <w:sz w:val="26"/>
          <w:szCs w:val="26"/>
        </w:rPr>
        <w:t xml:space="preserve"> шоссе, д. 23; 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«Тверьэнерго»: 170006, Тверь, ул. Бебеля, 1</w:t>
      </w:r>
      <w:r>
        <w:rPr>
          <w:b w:val="0"/>
          <w:sz w:val="26"/>
          <w:szCs w:val="26"/>
        </w:rPr>
        <w:t xml:space="preserve">;</w:t>
      </w:r>
      <w:r/>
    </w:p>
    <w:p>
      <w:pPr>
        <w:pStyle w:val="744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</w:t>
      </w:r>
      <w:r>
        <w:rPr>
          <w:b w:val="0"/>
          <w:sz w:val="26"/>
          <w:szCs w:val="26"/>
        </w:rPr>
        <w:t xml:space="preserve">илиал «Ярэнерго»: 150003, г. Ярославль, ул. </w:t>
      </w:r>
      <w:r>
        <w:rPr>
          <w:b w:val="0"/>
          <w:sz w:val="26"/>
          <w:szCs w:val="26"/>
        </w:rPr>
        <w:t xml:space="preserve">Воинова</w:t>
      </w:r>
      <w:r>
        <w:rPr>
          <w:b w:val="0"/>
          <w:sz w:val="26"/>
          <w:szCs w:val="26"/>
        </w:rPr>
        <w:t xml:space="preserve">, д. 12.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18" w:name="_Toc274560739"/>
      <w:r/>
      <w:bookmarkStart w:id="19" w:name="_Toc473118945"/>
      <w:r/>
      <w:bookmarkStart w:id="20" w:name="_Toc131426718"/>
      <w:r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</w:t>
      </w:r>
      <w:r>
        <w:rPr>
          <w:rFonts w:ascii="Times New Roman" w:hAnsi="Times New Roman"/>
          <w:color w:val="auto"/>
          <w:sz w:val="26"/>
          <w:szCs w:val="26"/>
        </w:rPr>
        <w:t xml:space="preserve">ому</w:t>
      </w:r>
      <w:r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8"/>
      <w:r/>
      <w:bookmarkEnd w:id="19"/>
      <w:r>
        <w:rPr>
          <w:rFonts w:ascii="Times New Roman" w:hAnsi="Times New Roman"/>
          <w:color w:val="auto"/>
          <w:sz w:val="26"/>
          <w:szCs w:val="26"/>
        </w:rPr>
        <w:t xml:space="preserve">программному обеспечению</w:t>
      </w:r>
      <w:bookmarkEnd w:id="20"/>
      <w:r/>
      <w:r/>
    </w:p>
    <w:p>
      <w:pPr>
        <w:pStyle w:val="744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Планируется приобретение </w:t>
      </w:r>
      <w:r>
        <w:rPr>
          <w:b w:val="0"/>
          <w:sz w:val="26"/>
          <w:szCs w:val="26"/>
        </w:rPr>
        <w:t xml:space="preserve">неисключительных лицензий на использование программного обеспечения </w:t>
      </w:r>
      <w:r>
        <w:rPr>
          <w:b w:val="0"/>
          <w:sz w:val="26"/>
          <w:szCs w:val="26"/>
        </w:rPr>
        <w:t xml:space="preserve">Vinteo</w:t>
      </w:r>
      <w:r>
        <w:rPr>
          <w:b w:val="0"/>
          <w:sz w:val="26"/>
          <w:szCs w:val="26"/>
        </w:rPr>
        <w:t xml:space="preserve"> для нужд всех филиалов ПАО 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>
        <w:rPr>
          <w:b w:val="0"/>
          <w:sz w:val="26"/>
          <w:szCs w:val="26"/>
        </w:rPr>
        <w:t xml:space="preserve">. </w:t>
      </w:r>
      <w:r>
        <w:rPr>
          <w:b w:val="0"/>
          <w:sz w:val="26"/>
          <w:szCs w:val="26"/>
        </w:rPr>
        <w:t xml:space="preserve">Перечень, количество, условия использования лицензий приведены в Приложении </w:t>
      </w:r>
      <w:r>
        <w:rPr>
          <w:b w:val="0"/>
          <w:sz w:val="26"/>
          <w:szCs w:val="26"/>
        </w:rPr>
        <w:t xml:space="preserve">№ 1 </w:t>
      </w:r>
      <w:r>
        <w:rPr>
          <w:b w:val="0"/>
          <w:sz w:val="26"/>
          <w:szCs w:val="26"/>
        </w:rPr>
        <w:t xml:space="preserve">к настоящему Техническому заданию. </w:t>
      </w:r>
      <w:r/>
    </w:p>
    <w:p>
      <w:pPr>
        <w:pStyle w:val="744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Предложение участника должно соответствовать Спецификации (Приложение № 1 к настоящему ТЗ) и оформляться в табличной форме согласно Приложению № 2 к настоящему ТЗ.</w:t>
      </w:r>
      <w:r/>
    </w:p>
    <w:p>
      <w:pPr>
        <w:pStyle w:val="744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 случае расхождения, исключения или добавления позиций участник в своем предложении должен привести таблицу «Изменения Спецификации» по форме Приложения № 3 к настоящему ТЗ.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21" w:name="_Toc351445379"/>
      <w:r/>
      <w:bookmarkStart w:id="22" w:name="_Toc358363919"/>
      <w:r/>
      <w:bookmarkStart w:id="23" w:name="_Toc358363961"/>
      <w:r/>
      <w:bookmarkStart w:id="24" w:name="_Toc358364025"/>
      <w:r/>
      <w:bookmarkStart w:id="25" w:name="_Toc358364641"/>
      <w:r/>
      <w:bookmarkStart w:id="26" w:name="_Toc358364854"/>
      <w:r/>
      <w:bookmarkStart w:id="27" w:name="_Toc363475155"/>
      <w:r/>
      <w:bookmarkStart w:id="28" w:name="_Toc349570484"/>
      <w:r/>
      <w:bookmarkStart w:id="29" w:name="_Toc349570705"/>
      <w:r/>
      <w:bookmarkStart w:id="30" w:name="_Toc349571100"/>
      <w:r/>
      <w:bookmarkStart w:id="31" w:name="_Toc274560384"/>
      <w:r/>
      <w:bookmarkStart w:id="32" w:name="_Toc291589525"/>
      <w:r/>
      <w:bookmarkStart w:id="33" w:name="_Toc319666314"/>
      <w:r/>
      <w:bookmarkStart w:id="34" w:name="_Toc473118944"/>
      <w:r/>
      <w:bookmarkStart w:id="35" w:name="_Toc131426719"/>
      <w:r/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31"/>
      <w:r/>
      <w:bookmarkEnd w:id="32"/>
      <w:r/>
      <w:bookmarkEnd w:id="33"/>
      <w:r/>
      <w:bookmarkEnd w:id="34"/>
      <w:r>
        <w:rPr>
          <w:rFonts w:ascii="Times New Roman" w:hAnsi="Times New Roman"/>
          <w:color w:val="auto"/>
          <w:sz w:val="26"/>
          <w:szCs w:val="26"/>
        </w:rPr>
        <w:t xml:space="preserve">Поставщику</w:t>
      </w:r>
      <w:bookmarkEnd w:id="35"/>
      <w:r/>
      <w:r/>
    </w:p>
    <w:p>
      <w:pPr>
        <w:pStyle w:val="734"/>
        <w:ind w:left="0" w:firstLine="567"/>
        <w:jc w:val="both"/>
        <w:rPr>
          <w:sz w:val="26"/>
          <w:szCs w:val="26"/>
        </w:rPr>
      </w:pPr>
      <w:r/>
      <w:bookmarkStart w:id="36" w:name="_Toc274560385"/>
      <w:r>
        <w:rPr>
          <w:rFonts w:eastAsiaTheme="minorEastAsia"/>
          <w:sz w:val="26"/>
          <w:szCs w:val="26"/>
        </w:rPr>
        <w:t xml:space="preserve">Поставщик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должен гарантировать, что на момент заключения Договора он будет обладать в необходимом объеме правами в отношении передаваем</w:t>
      </w:r>
      <w:r>
        <w:rPr>
          <w:rFonts w:eastAsiaTheme="minorEastAsia"/>
          <w:sz w:val="26"/>
          <w:szCs w:val="26"/>
        </w:rPr>
        <w:t xml:space="preserve">ых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Заказчику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лицензий</w:t>
      </w:r>
      <w:r>
        <w:rPr>
          <w:rFonts w:eastAsiaTheme="minorEastAsia"/>
          <w:sz w:val="26"/>
          <w:szCs w:val="26"/>
        </w:rPr>
        <w:t xml:space="preserve">. В случае если к </w:t>
      </w:r>
      <w:r>
        <w:rPr>
          <w:rFonts w:eastAsiaTheme="minorEastAsia"/>
          <w:sz w:val="26"/>
          <w:szCs w:val="26"/>
        </w:rPr>
        <w:t xml:space="preserve">Заказчику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по </w:t>
      </w:r>
      <w:r>
        <w:rPr>
          <w:rFonts w:eastAsiaTheme="minorEastAsia"/>
          <w:sz w:val="26"/>
          <w:szCs w:val="26"/>
        </w:rPr>
        <w:t xml:space="preserve">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</w:t>
      </w:r>
      <w:r>
        <w:rPr>
          <w:rFonts w:eastAsiaTheme="minorEastAsia"/>
          <w:sz w:val="26"/>
          <w:szCs w:val="26"/>
        </w:rPr>
        <w:t xml:space="preserve">Поставщик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обязуется принять на себя эти претензии и возместить </w:t>
      </w:r>
      <w:r>
        <w:rPr>
          <w:rFonts w:eastAsiaTheme="minorEastAsia"/>
          <w:sz w:val="26"/>
          <w:szCs w:val="26"/>
        </w:rPr>
        <w:t xml:space="preserve">Заказчику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все убытки и расходы, понесенные </w:t>
      </w:r>
      <w:r>
        <w:rPr>
          <w:rFonts w:eastAsiaTheme="minorEastAsia"/>
          <w:sz w:val="26"/>
          <w:szCs w:val="26"/>
        </w:rPr>
        <w:t xml:space="preserve">Заказчиком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в связи с нарушением таких прав, и за свой счет, и на свой риск незамедлительно принять меры к урегулированию заявленных претензий.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37" w:name="_Toc351445381"/>
      <w:r/>
      <w:bookmarkStart w:id="38" w:name="_Toc358363921"/>
      <w:r/>
      <w:bookmarkStart w:id="39" w:name="_Toc358363963"/>
      <w:r/>
      <w:bookmarkStart w:id="40" w:name="_Toc358364027"/>
      <w:r/>
      <w:bookmarkStart w:id="41" w:name="_Toc358364643"/>
      <w:r/>
      <w:bookmarkStart w:id="42" w:name="_Toc358364856"/>
      <w:r/>
      <w:bookmarkStart w:id="43" w:name="_Toc363475157"/>
      <w:r/>
      <w:bookmarkStart w:id="44" w:name="_Toc349570486"/>
      <w:r/>
      <w:bookmarkStart w:id="45" w:name="_Toc349570707"/>
      <w:r/>
      <w:bookmarkStart w:id="46" w:name="_Toc349571102"/>
      <w:r/>
      <w:bookmarkStart w:id="47" w:name="_Toc349656164"/>
      <w:r/>
      <w:bookmarkStart w:id="48" w:name="_Toc350851423"/>
      <w:r/>
      <w:bookmarkStart w:id="49" w:name="_Toc351445382"/>
      <w:r/>
      <w:bookmarkStart w:id="50" w:name="_Toc358363922"/>
      <w:r/>
      <w:bookmarkStart w:id="51" w:name="_Toc358363964"/>
      <w:r/>
      <w:bookmarkStart w:id="52" w:name="_Toc358364028"/>
      <w:r/>
      <w:bookmarkStart w:id="53" w:name="_Toc358364644"/>
      <w:r/>
      <w:bookmarkStart w:id="54" w:name="_Toc358364857"/>
      <w:r/>
      <w:bookmarkStart w:id="55" w:name="_Toc363475158"/>
      <w:r/>
      <w:bookmarkStart w:id="56" w:name="_Toc425409831"/>
      <w:r/>
      <w:bookmarkStart w:id="57" w:name="_Toc351445393"/>
      <w:r/>
      <w:bookmarkStart w:id="58" w:name="_Toc358363933"/>
      <w:r/>
      <w:bookmarkStart w:id="59" w:name="_Toc358363975"/>
      <w:r/>
      <w:bookmarkStart w:id="60" w:name="_Toc358364039"/>
      <w:r/>
      <w:bookmarkStart w:id="61" w:name="_Toc358364655"/>
      <w:r/>
      <w:bookmarkStart w:id="62" w:name="_Toc358364868"/>
      <w:r/>
      <w:bookmarkStart w:id="63" w:name="_Toc363475169"/>
      <w:r/>
      <w:bookmarkStart w:id="64" w:name="_Toc291589529"/>
      <w:r/>
      <w:bookmarkStart w:id="65" w:name="_Toc319666318"/>
      <w:r/>
      <w:bookmarkStart w:id="66" w:name="_Toc473118948"/>
      <w:r/>
      <w:bookmarkStart w:id="67" w:name="_Toc131426720"/>
      <w:r/>
      <w:bookmarkEnd w:id="37"/>
      <w:r/>
      <w:bookmarkEnd w:id="38"/>
      <w:r/>
      <w:bookmarkEnd w:id="39"/>
      <w:r/>
      <w:bookmarkEnd w:id="40"/>
      <w:r/>
      <w:bookmarkEnd w:id="41"/>
      <w:r/>
      <w:bookmarkEnd w:id="42"/>
      <w:r/>
      <w:bookmarkEnd w:id="43"/>
      <w:r/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bookmarkEnd w:id="50"/>
      <w:r/>
      <w:bookmarkEnd w:id="51"/>
      <w:r/>
      <w:bookmarkEnd w:id="52"/>
      <w:r/>
      <w:bookmarkEnd w:id="53"/>
      <w:r/>
      <w:bookmarkEnd w:id="54"/>
      <w:r/>
      <w:bookmarkEnd w:id="55"/>
      <w:r/>
      <w:bookmarkEnd w:id="56"/>
      <w:r/>
      <w:bookmarkEnd w:id="57"/>
      <w:r/>
      <w:bookmarkEnd w:id="58"/>
      <w:r/>
      <w:bookmarkEnd w:id="59"/>
      <w:r/>
      <w:bookmarkEnd w:id="60"/>
      <w:r/>
      <w:bookmarkEnd w:id="61"/>
      <w:r/>
      <w:bookmarkEnd w:id="62"/>
      <w:r/>
      <w:bookmarkEnd w:id="63"/>
      <w:r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64"/>
      <w:r/>
      <w:bookmarkEnd w:id="65"/>
      <w:r/>
      <w:bookmarkEnd w:id="66"/>
      <w:r>
        <w:rPr>
          <w:rFonts w:ascii="Times New Roman" w:hAnsi="Times New Roman"/>
          <w:color w:val="auto"/>
          <w:sz w:val="26"/>
          <w:szCs w:val="26"/>
        </w:rPr>
        <w:t xml:space="preserve">лицензий</w:t>
      </w:r>
      <w:bookmarkEnd w:id="67"/>
      <w:r/>
      <w:r/>
    </w:p>
    <w:p>
      <w:pPr>
        <w:pStyle w:val="734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Приемка </w:t>
      </w:r>
      <w:r>
        <w:rPr>
          <w:rFonts w:eastAsiaTheme="minorEastAsia"/>
          <w:sz w:val="26"/>
          <w:szCs w:val="26"/>
        </w:rPr>
        <w:t xml:space="preserve">лицензи</w:t>
      </w:r>
      <w:r>
        <w:rPr>
          <w:rFonts w:eastAsiaTheme="minorEastAsia"/>
          <w:sz w:val="26"/>
          <w:szCs w:val="26"/>
        </w:rPr>
        <w:t xml:space="preserve">й</w:t>
      </w:r>
      <w:r>
        <w:rPr>
          <w:rFonts w:eastAsiaTheme="minorEastAsia"/>
          <w:sz w:val="26"/>
          <w:szCs w:val="26"/>
        </w:rPr>
        <w:t xml:space="preserve"> осуществляется </w:t>
      </w:r>
      <w:r>
        <w:rPr>
          <w:rFonts w:eastAsiaTheme="minorEastAsia"/>
          <w:sz w:val="26"/>
          <w:szCs w:val="26"/>
        </w:rPr>
        <w:t xml:space="preserve">на основании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Акта приема-передачи</w:t>
      </w:r>
      <w:r>
        <w:rPr>
          <w:rFonts w:eastAsiaTheme="minorEastAsia"/>
          <w:sz w:val="26"/>
          <w:szCs w:val="26"/>
        </w:rPr>
        <w:t xml:space="preserve">.</w:t>
      </w:r>
      <w:r/>
    </w:p>
    <w:p>
      <w:pPr>
        <w:pStyle w:val="734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Лиценз</w:t>
      </w:r>
      <w:r>
        <w:rPr>
          <w:rFonts w:eastAsiaTheme="minorEastAsia"/>
          <w:sz w:val="26"/>
          <w:szCs w:val="26"/>
        </w:rPr>
        <w:t xml:space="preserve">ии</w:t>
      </w:r>
      <w:r>
        <w:rPr>
          <w:rFonts w:eastAsiaTheme="minorEastAsia"/>
          <w:sz w:val="26"/>
          <w:szCs w:val="26"/>
        </w:rPr>
        <w:t xml:space="preserve"> счита</w:t>
      </w:r>
      <w:r>
        <w:rPr>
          <w:rFonts w:eastAsiaTheme="minorEastAsia"/>
          <w:sz w:val="26"/>
          <w:szCs w:val="26"/>
        </w:rPr>
        <w:t xml:space="preserve">ю</w:t>
      </w:r>
      <w:r>
        <w:rPr>
          <w:rFonts w:eastAsiaTheme="minorEastAsia"/>
          <w:sz w:val="26"/>
          <w:szCs w:val="26"/>
        </w:rPr>
        <w:t xml:space="preserve">тся поставленн</w:t>
      </w:r>
      <w:r>
        <w:rPr>
          <w:rFonts w:eastAsiaTheme="minorEastAsia"/>
          <w:sz w:val="26"/>
          <w:szCs w:val="26"/>
        </w:rPr>
        <w:t xml:space="preserve">ыми</w:t>
      </w:r>
      <w:r>
        <w:rPr>
          <w:rFonts w:eastAsiaTheme="minorEastAsia"/>
          <w:sz w:val="26"/>
          <w:szCs w:val="26"/>
        </w:rPr>
        <w:t xml:space="preserve"> надлежащим образом и принятым с момента подписания сторонами </w:t>
      </w:r>
      <w:r>
        <w:rPr>
          <w:rFonts w:eastAsiaTheme="minorEastAsia"/>
          <w:sz w:val="26"/>
          <w:szCs w:val="26"/>
        </w:rPr>
        <w:t xml:space="preserve">Акта приема-передачи</w:t>
      </w:r>
      <w:r>
        <w:rPr>
          <w:rFonts w:eastAsiaTheme="minorEastAsia"/>
          <w:sz w:val="26"/>
          <w:szCs w:val="26"/>
        </w:rPr>
        <w:t xml:space="preserve">. Дополнительные условия приемки </w:t>
      </w:r>
      <w:r>
        <w:rPr>
          <w:rFonts w:eastAsiaTheme="minorEastAsia"/>
          <w:sz w:val="26"/>
          <w:szCs w:val="26"/>
        </w:rPr>
        <w:t xml:space="preserve">лицензии</w:t>
      </w:r>
      <w:r>
        <w:rPr>
          <w:rFonts w:eastAsiaTheme="minorEastAsia"/>
          <w:sz w:val="26"/>
          <w:szCs w:val="26"/>
        </w:rPr>
        <w:t xml:space="preserve"> устанавливаются Договором.</w:t>
      </w:r>
      <w:r/>
    </w:p>
    <w:p>
      <w:pPr>
        <w:pStyle w:val="728"/>
        <w:numPr>
          <w:ilvl w:val="0"/>
          <w:numId w:val="14"/>
        </w:numPr>
        <w:contextualSpacing/>
        <w:ind w:left="0" w:firstLine="567"/>
        <w:spacing w:before="240" w:after="120"/>
        <w:tabs>
          <w:tab w:val="left" w:pos="851" w:leader="none"/>
        </w:tabs>
        <w:rPr>
          <w:rFonts w:ascii="Times New Roman" w:hAnsi="Times New Roman"/>
          <w:color w:val="auto"/>
          <w:sz w:val="26"/>
          <w:szCs w:val="26"/>
        </w:rPr>
      </w:pPr>
      <w:r/>
      <w:bookmarkStart w:id="68" w:name="_Toc291589530"/>
      <w:r/>
      <w:bookmarkStart w:id="69" w:name="_Toc319666319"/>
      <w:r/>
      <w:bookmarkStart w:id="70" w:name="_Toc473118949"/>
      <w:r/>
      <w:bookmarkStart w:id="71" w:name="_Toc131426721"/>
      <w:r/>
      <w:bookmarkEnd w:id="36"/>
      <w:r>
        <w:rPr>
          <w:rFonts w:ascii="Times New Roman" w:hAnsi="Times New Roman"/>
          <w:color w:val="auto"/>
          <w:sz w:val="26"/>
          <w:szCs w:val="26"/>
        </w:rPr>
        <w:t xml:space="preserve">Стоимость и о</w:t>
      </w:r>
      <w:r>
        <w:rPr>
          <w:rFonts w:ascii="Times New Roman" w:hAnsi="Times New Roman"/>
          <w:color w:val="auto"/>
          <w:sz w:val="26"/>
          <w:szCs w:val="26"/>
        </w:rPr>
        <w:t xml:space="preserve">плата</w:t>
      </w:r>
      <w:bookmarkEnd w:id="68"/>
      <w:r/>
      <w:bookmarkEnd w:id="69"/>
      <w:r/>
      <w:bookmarkEnd w:id="70"/>
      <w:r/>
      <w:bookmarkEnd w:id="71"/>
      <w:r/>
      <w:r/>
    </w:p>
    <w:p>
      <w:pPr>
        <w:pStyle w:val="765"/>
        <w:contextualSpacing/>
        <w:ind w:left="0" w:firstLine="567"/>
        <w:jc w:val="both"/>
        <w:spacing w:after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</w:t>
      </w:r>
      <w:r>
        <w:rPr>
          <w:rFonts w:eastAsia="Times New Roman"/>
          <w:sz w:val="26"/>
          <w:szCs w:val="26"/>
        </w:rPr>
        <w:t xml:space="preserve">плата производится </w:t>
      </w:r>
      <w:r>
        <w:rPr>
          <w:rFonts w:eastAsiaTheme="minorEastAsia"/>
          <w:sz w:val="26"/>
          <w:szCs w:val="26"/>
        </w:rPr>
        <w:t xml:space="preserve">Заказчиком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 условиях, указанных в </w:t>
      </w:r>
      <w:r>
        <w:rPr>
          <w:rFonts w:eastAsia="Times New Roman"/>
          <w:sz w:val="26"/>
          <w:szCs w:val="26"/>
        </w:rPr>
        <w:t xml:space="preserve">закупочной</w:t>
      </w:r>
      <w:r>
        <w:rPr>
          <w:rFonts w:eastAsia="Times New Roman"/>
          <w:sz w:val="26"/>
          <w:szCs w:val="26"/>
        </w:rPr>
        <w:t xml:space="preserve"> документации.</w:t>
      </w:r>
      <w:r>
        <w:rPr>
          <w:rFonts w:eastAsia="Times New Roman"/>
          <w:sz w:val="26"/>
          <w:szCs w:val="26"/>
        </w:rPr>
        <w:t xml:space="preserve"> </w:t>
      </w:r>
      <w:r/>
    </w:p>
    <w:p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br w:type="page" w:clear="all"/>
      </w:r>
      <w:r/>
    </w:p>
    <w:p>
      <w:pPr>
        <w:pStyle w:val="735"/>
        <w:sectPr>
          <w:headerReference w:type="default" r:id="rId9"/>
          <w:footnotePr/>
          <w:endnotePr/>
          <w:type w:val="nextPage"/>
          <w:pgSz w:w="11906" w:h="16838" w:orient="portrait"/>
          <w:pgMar w:top="1276" w:right="707" w:bottom="993" w:left="1531" w:header="709" w:footer="709" w:gutter="0"/>
          <w:cols w:num="1" w:sep="0" w:space="708" w:equalWidth="1"/>
          <w:docGrid w:linePitch="360"/>
          <w:titlePg/>
        </w:sectPr>
      </w:pPr>
      <w:r/>
      <w:bookmarkStart w:id="72" w:name="_Toc473118950"/>
      <w:r/>
      <w:r/>
    </w:p>
    <w:p>
      <w:pPr>
        <w:pStyle w:val="735"/>
      </w:pPr>
      <w:r/>
      <w:bookmarkStart w:id="73" w:name="_Toc131426722"/>
      <w:r>
        <w:t xml:space="preserve">Приложение</w:t>
      </w:r>
      <w:bookmarkEnd w:id="72"/>
      <w:r>
        <w:t xml:space="preserve"> №</w:t>
      </w:r>
      <w:r>
        <w:t xml:space="preserve"> </w:t>
      </w:r>
      <w:r>
        <w:t xml:space="preserve">1</w:t>
      </w:r>
      <w:bookmarkEnd w:id="73"/>
      <w:r/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5_77_</w:t>
      </w:r>
      <w:r>
        <w:rPr>
          <w:sz w:val="24"/>
          <w:szCs w:val="24"/>
        </w:rPr>
        <w:t xml:space="preserve">327</w:t>
      </w:r>
      <w:r/>
    </w:p>
    <w:p>
      <w:pPr>
        <w:ind w:left="3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 количество </w:t>
      </w:r>
      <w:r>
        <w:rPr>
          <w:b/>
          <w:sz w:val="24"/>
          <w:szCs w:val="24"/>
        </w:rPr>
        <w:t xml:space="preserve">лицензий</w:t>
      </w:r>
      <w:r>
        <w:rPr>
          <w:b/>
          <w:sz w:val="24"/>
          <w:szCs w:val="24"/>
        </w:rPr>
        <w:t xml:space="preserve"> по филиалам</w:t>
      </w:r>
      <w:r/>
    </w:p>
    <w:p>
      <w:pPr>
        <w:pStyle w:val="744"/>
        <w:numPr>
          <w:ilvl w:val="0"/>
          <w:numId w:val="0"/>
        </w:numPr>
        <w:rPr>
          <w:b w:val="0"/>
          <w:szCs w:val="16"/>
        </w:rPr>
      </w:pPr>
      <w:r>
        <w:rPr>
          <w:b w:val="0"/>
          <w:szCs w:val="16"/>
        </w:rPr>
      </w:r>
      <w:r/>
    </w:p>
    <w:tbl>
      <w:tblPr>
        <w:tblStyle w:val="753"/>
        <w:tblW w:w="9733" w:type="dxa"/>
        <w:tblInd w:w="34" w:type="dxa"/>
        <w:tblLook w:val="04A0" w:firstRow="1" w:lastRow="0" w:firstColumn="1" w:lastColumn="0" w:noHBand="0" w:noVBand="1"/>
      </w:tblPr>
      <w:tblGrid>
        <w:gridCol w:w="513"/>
        <w:gridCol w:w="2283"/>
        <w:gridCol w:w="3119"/>
        <w:gridCol w:w="3818"/>
      </w:tblGrid>
      <w:tr>
        <w:trPr/>
        <w:tc>
          <w:tcPr>
            <w:tcW w:w="51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п/п</w:t>
            </w:r>
            <w:r/>
          </w:p>
        </w:tc>
        <w:tc>
          <w:tcPr>
            <w:tcW w:w="228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Филиал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Неисключительная лицензия на использование программного обеспечения 10 HD1080 подключен</w:t>
            </w:r>
            <w:r>
              <w:rPr>
                <w:b w:val="0"/>
                <w:sz w:val="22"/>
                <w:szCs w:val="22"/>
              </w:rPr>
              <w:t xml:space="preserve">и</w:t>
            </w:r>
            <w:r>
              <w:rPr>
                <w:b w:val="0"/>
                <w:sz w:val="22"/>
                <w:szCs w:val="22"/>
              </w:rPr>
              <w:t xml:space="preserve">й к Серверу видеоконференций </w:t>
            </w:r>
            <w:r>
              <w:rPr>
                <w:b w:val="0"/>
                <w:sz w:val="22"/>
                <w:szCs w:val="22"/>
              </w:rPr>
              <w:t xml:space="preserve">Vinteo</w:t>
            </w:r>
            <w:r>
              <w:rPr>
                <w:b w:val="0"/>
                <w:sz w:val="22"/>
                <w:szCs w:val="22"/>
              </w:rPr>
              <w:t xml:space="preserve"> (</w:t>
            </w:r>
            <w:r>
              <w:rPr>
                <w:b w:val="0"/>
                <w:sz w:val="22"/>
                <w:szCs w:val="22"/>
              </w:rPr>
              <w:t xml:space="preserve">Vinteo</w:t>
            </w:r>
            <w:r>
              <w:rPr>
                <w:b w:val="0"/>
                <w:sz w:val="22"/>
                <w:szCs w:val="22"/>
              </w:rPr>
              <w:t xml:space="preserve"> HD1080 CALL </w:t>
            </w:r>
            <w:r>
              <w:rPr>
                <w:b w:val="0"/>
                <w:sz w:val="22"/>
                <w:szCs w:val="22"/>
              </w:rPr>
              <w:t xml:space="preserve">Single</w:t>
            </w:r>
            <w:r>
              <w:rPr>
                <w:b w:val="0"/>
                <w:sz w:val="22"/>
                <w:szCs w:val="22"/>
              </w:rPr>
              <w:t xml:space="preserve"> RUS) на территории России в течение всего срока действия исключительного права с правом получения обновлений в течение одного года без выплаты дополнительного вознаграждения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Неисключительная лицензия на использование программного обеспечения Сервер видеоконференций </w:t>
            </w:r>
            <w:r>
              <w:rPr>
                <w:b w:val="0"/>
                <w:sz w:val="22"/>
                <w:szCs w:val="22"/>
              </w:rPr>
              <w:t xml:space="preserve">Vinteo</w:t>
            </w:r>
            <w:r>
              <w:rPr>
                <w:b w:val="0"/>
                <w:sz w:val="22"/>
                <w:szCs w:val="22"/>
              </w:rPr>
              <w:t xml:space="preserve"> (</w:t>
            </w:r>
            <w:r>
              <w:rPr>
                <w:b w:val="0"/>
                <w:sz w:val="22"/>
                <w:szCs w:val="22"/>
              </w:rPr>
              <w:t xml:space="preserve">Vinteo</w:t>
            </w:r>
            <w:r>
              <w:rPr>
                <w:b w:val="0"/>
                <w:sz w:val="22"/>
                <w:szCs w:val="22"/>
              </w:rPr>
              <w:t xml:space="preserve"> </w:t>
            </w:r>
            <w:bookmarkStart w:id="74" w:name="_GoBack"/>
            <w:r/>
            <w:bookmarkEnd w:id="74"/>
            <w:r>
              <w:rPr>
                <w:b w:val="0"/>
                <w:sz w:val="22"/>
                <w:szCs w:val="22"/>
              </w:rPr>
              <w:t xml:space="preserve">CALL </w:t>
            </w:r>
            <w:r>
              <w:rPr>
                <w:b w:val="0"/>
                <w:sz w:val="22"/>
                <w:szCs w:val="22"/>
              </w:rPr>
              <w:t xml:space="preserve">Audio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Single</w:t>
            </w:r>
            <w:r>
              <w:rPr>
                <w:b w:val="0"/>
                <w:sz w:val="22"/>
                <w:szCs w:val="22"/>
              </w:rPr>
              <w:t xml:space="preserve"> RUS) не более 5 одновременных голосовых подключений на одном компьютерном устройстве на территории России в течение всего срока действия исключительного права с правом получения обновлений в течение первого года без выплаты дополнительного вознаграждения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Белгородэнерго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Брянскэнерго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Воронежэнерго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Костромаэнерго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Курскэнерго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Липецкэнерго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Орелэнерго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Смоленскэнерго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Тамбовэнерго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Тверьэнерго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22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Ярэнерго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W w:w="3818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1</w:t>
            </w:r>
            <w:r/>
          </w:p>
        </w:tc>
      </w:tr>
      <w:tr>
        <w:trPr/>
        <w:tc>
          <w:tcPr>
            <w:tcW w:w="51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27"/>
              </w:numPr>
              <w:ind w:left="25" w:right="-33"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/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744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ИТОГО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8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 xml:space="preserve">11</w:t>
            </w:r>
            <w:r/>
          </w:p>
        </w:tc>
      </w:tr>
    </w:tbl>
    <w:p>
      <w:pPr>
        <w:pStyle w:val="744"/>
        <w:numPr>
          <w:ilvl w:val="0"/>
          <w:numId w:val="0"/>
        </w:numPr>
        <w:ind w:left="34"/>
        <w:rPr>
          <w:b w:val="0"/>
          <w:szCs w:val="24"/>
        </w:rPr>
      </w:pPr>
      <w:r>
        <w:rPr>
          <w:b w:val="0"/>
          <w:szCs w:val="24"/>
        </w:rPr>
      </w:r>
      <w:r/>
    </w:p>
    <w:p>
      <w:pPr>
        <w:rPr>
          <w:b/>
          <w:szCs w:val="24"/>
        </w:rPr>
      </w:pPr>
      <w:r>
        <w:rPr>
          <w:szCs w:val="24"/>
        </w:rPr>
        <w:br w:type="page" w:clear="all"/>
      </w:r>
      <w:r/>
    </w:p>
    <w:p>
      <w:pPr>
        <w:pStyle w:val="735"/>
      </w:pPr>
      <w:r/>
      <w:bookmarkStart w:id="75" w:name="_Toc131426723"/>
      <w:r>
        <w:t xml:space="preserve">Приложение</w:t>
      </w:r>
      <w:r>
        <w:t xml:space="preserve"> №</w:t>
      </w:r>
      <w:r>
        <w:t xml:space="preserve"> </w:t>
      </w:r>
      <w:r>
        <w:t xml:space="preserve">2</w:t>
      </w:r>
      <w:bookmarkEnd w:id="75"/>
      <w:r/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5_77_</w:t>
      </w:r>
      <w:r>
        <w:rPr>
          <w:sz w:val="24"/>
          <w:szCs w:val="24"/>
        </w:rPr>
        <w:t xml:space="preserve">327</w:t>
      </w:r>
      <w:r/>
    </w:p>
    <w:p>
      <w:pPr>
        <w:ind w:left="3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Предложение участника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/>
    </w:p>
    <w:tbl>
      <w:tblPr>
        <w:tblStyle w:val="753"/>
        <w:tblW w:w="9776" w:type="dxa"/>
        <w:tblLook w:val="04A0" w:firstRow="1" w:lastRow="0" w:firstColumn="1" w:lastColumn="0" w:noHBand="0" w:noVBand="1"/>
      </w:tblPr>
      <w:tblGrid>
        <w:gridCol w:w="486"/>
        <w:gridCol w:w="4124"/>
        <w:gridCol w:w="993"/>
        <w:gridCol w:w="1763"/>
        <w:gridCol w:w="2410"/>
      </w:tblGrid>
      <w:tr>
        <w:trPr>
          <w:trHeight w:val="610"/>
        </w:trPr>
        <w:tc>
          <w:tcPr>
            <w:tcW w:w="48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/>
          </w:p>
        </w:tc>
        <w:tc>
          <w:tcPr>
            <w:tcW w:w="412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ПО</w:t>
            </w:r>
            <w:r/>
          </w:p>
        </w:tc>
        <w:tc>
          <w:tcPr>
            <w:tcW w:w="993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во, шт.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Цена, руб., без НДС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руб., без НДС</w:t>
            </w:r>
            <w:r/>
          </w:p>
        </w:tc>
      </w:tr>
      <w:tr>
        <w:trPr>
          <w:trHeight w:val="300"/>
        </w:trPr>
        <w:tc>
          <w:tcPr>
            <w:tcW w:w="486" w:type="dxa"/>
            <w:textDirection w:val="lrTb"/>
            <w:noWrap w:val="false"/>
          </w:tcPr>
          <w:p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</w:t>
            </w:r>
            <w:r/>
          </w:p>
        </w:tc>
        <w:tc>
          <w:tcPr>
            <w:tcW w:w="412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Неисключительная лицензия на использование программного обеспечения 10 HD1080 </w:t>
            </w:r>
            <w:r>
              <w:rPr>
                <w:b/>
                <w:sz w:val="18"/>
                <w:szCs w:val="18"/>
              </w:rPr>
              <w:t xml:space="preserve">подключенй</w:t>
            </w:r>
            <w:r>
              <w:rPr>
                <w:b/>
                <w:sz w:val="18"/>
                <w:szCs w:val="18"/>
              </w:rPr>
              <w:t xml:space="preserve"> к Серверу видеоконференций </w:t>
            </w:r>
            <w:r>
              <w:rPr>
                <w:b/>
                <w:sz w:val="18"/>
                <w:szCs w:val="18"/>
              </w:rPr>
              <w:t xml:space="preserve">Vinteo</w:t>
            </w:r>
            <w:r>
              <w:rPr>
                <w:b/>
                <w:sz w:val="18"/>
                <w:szCs w:val="18"/>
              </w:rPr>
              <w:t xml:space="preserve"> (</w:t>
            </w:r>
            <w:r>
              <w:rPr>
                <w:b/>
                <w:sz w:val="18"/>
                <w:szCs w:val="18"/>
              </w:rPr>
              <w:t xml:space="preserve">Vinteo</w:t>
            </w:r>
            <w:r>
              <w:rPr>
                <w:b/>
                <w:sz w:val="18"/>
                <w:szCs w:val="18"/>
              </w:rPr>
              <w:t xml:space="preserve"> HD1080 CALL </w:t>
            </w:r>
            <w:r>
              <w:rPr>
                <w:b/>
                <w:sz w:val="18"/>
                <w:szCs w:val="18"/>
              </w:rPr>
              <w:t xml:space="preserve">Single</w:t>
            </w:r>
            <w:r>
              <w:rPr>
                <w:b/>
                <w:sz w:val="18"/>
                <w:szCs w:val="18"/>
              </w:rPr>
              <w:t xml:space="preserve"> RUS) на территории России в течение всего срока действия исключительного права с правом получения обновлений в течение одного года без выплаты дополнительного вознаграждения</w:t>
            </w:r>
            <w:r/>
          </w:p>
        </w:tc>
        <w:tc>
          <w:tcPr>
            <w:tcW w:w="993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tcW w:w="486" w:type="dxa"/>
            <w:textDirection w:val="lrTb"/>
            <w:noWrap w:val="false"/>
          </w:tcPr>
          <w:p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</w:t>
            </w:r>
            <w:r/>
          </w:p>
        </w:tc>
        <w:tc>
          <w:tcPr>
            <w:tcW w:w="4124" w:type="dxa"/>
            <w:textDirection w:val="lrTb"/>
            <w:noWrap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Неисключительная лицензия на использование программного обеспечения Сервер видеоконференций </w:t>
            </w:r>
            <w:r>
              <w:rPr>
                <w:b/>
                <w:sz w:val="18"/>
                <w:szCs w:val="18"/>
              </w:rPr>
              <w:t xml:space="preserve">Vinteo</w:t>
            </w:r>
            <w:r>
              <w:rPr>
                <w:b/>
                <w:sz w:val="18"/>
                <w:szCs w:val="18"/>
              </w:rPr>
              <w:t xml:space="preserve"> (</w:t>
            </w:r>
            <w:r>
              <w:rPr>
                <w:b/>
                <w:sz w:val="18"/>
                <w:szCs w:val="18"/>
              </w:rPr>
              <w:t xml:space="preserve">Vinteo</w:t>
            </w:r>
            <w:r>
              <w:rPr>
                <w:b/>
                <w:sz w:val="18"/>
                <w:szCs w:val="18"/>
              </w:rPr>
              <w:t xml:space="preserve"> CALL </w:t>
            </w:r>
            <w:r>
              <w:rPr>
                <w:b/>
                <w:sz w:val="18"/>
                <w:szCs w:val="18"/>
              </w:rPr>
              <w:t xml:space="preserve">Audio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Single</w:t>
            </w:r>
            <w:r>
              <w:rPr>
                <w:b/>
                <w:sz w:val="18"/>
                <w:szCs w:val="18"/>
              </w:rPr>
              <w:t xml:space="preserve"> RUS) не более 5 одновременных голосовых подключений на одном компьютерном устройстве на территории России в течение всего срока действия исключительного права с правом получения обновлений в течение первого года без выплаты дополнительного вознаграждения</w:t>
            </w:r>
            <w:r/>
          </w:p>
        </w:tc>
        <w:tc>
          <w:tcPr>
            <w:tcW w:w="993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12" w:right="567" w:bottom="568" w:left="1531" w:header="567" w:footer="709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728"/>
        <w:ind w:left="357"/>
        <w:jc w:val="right"/>
        <w:spacing w:before="0"/>
        <w:rPr>
          <w:rFonts w:ascii="Times New Roman" w:hAnsi="Times New Roman"/>
          <w:b w:val="0"/>
          <w:color w:val="auto"/>
          <w:sz w:val="26"/>
          <w:szCs w:val="26"/>
        </w:rPr>
      </w:pPr>
      <w:r/>
      <w:bookmarkStart w:id="76" w:name="_Toc131426724"/>
      <w:r>
        <w:rPr>
          <w:rFonts w:ascii="Times New Roman" w:hAnsi="Times New Roman"/>
          <w:b w:val="0"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/>
          <w:b w:val="0"/>
          <w:color w:val="auto"/>
          <w:sz w:val="26"/>
          <w:szCs w:val="26"/>
        </w:rPr>
        <w:t xml:space="preserve">3</w:t>
      </w:r>
      <w:bookmarkEnd w:id="76"/>
      <w:r/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sz w:val="24"/>
          <w:szCs w:val="24"/>
        </w:rPr>
        <w:t xml:space="preserve"> № 5_77_</w:t>
      </w:r>
      <w:r>
        <w:rPr>
          <w:sz w:val="24"/>
          <w:szCs w:val="24"/>
        </w:rPr>
        <w:t xml:space="preserve">327</w:t>
      </w:r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b/>
        </w:rPr>
      </w:pPr>
      <w:r>
        <w:rPr>
          <w:b/>
        </w:rPr>
        <w:t xml:space="preserve">Изменения </w:t>
      </w:r>
      <w:r>
        <w:rPr>
          <w:b/>
        </w:rPr>
        <w:t xml:space="preserve">спецификации</w:t>
      </w:r>
      <w:r/>
    </w:p>
    <w:p>
      <w:pPr>
        <w:jc w:val="center"/>
        <w:rPr>
          <w:b/>
        </w:rPr>
      </w:pPr>
      <w:r>
        <w:rPr>
          <w:b/>
        </w:rPr>
      </w:r>
      <w:r/>
    </w:p>
    <w:tbl>
      <w:tblPr>
        <w:tblpPr w:horzAnchor="text" w:tblpX="-176" w:vertAnchor="text" w:tblpY="1" w:leftFromText="180" w:topFromText="0" w:rightFromText="180" w:bottomFromText="0"/>
        <w:tblW w:w="157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810"/>
        <w:gridCol w:w="1292"/>
        <w:gridCol w:w="1945"/>
        <w:gridCol w:w="708"/>
        <w:gridCol w:w="1985"/>
        <w:gridCol w:w="2551"/>
        <w:gridCol w:w="1134"/>
        <w:gridCol w:w="3715"/>
      </w:tblGrid>
      <w:tr>
        <w:trPr>
          <w:trHeight w:val="281"/>
        </w:trPr>
        <w:tc>
          <w:tcPr>
            <w:gridSpan w:val="4"/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637" w:type="dxa"/>
            <w:vAlign w:val="center"/>
            <w:textDirection w:val="lrTb"/>
            <w:noWrap/>
          </w:tcPr>
          <w:p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Позици</w:t>
            </w:r>
            <w:r>
              <w:rPr>
                <w:b/>
                <w:color w:val="000000"/>
                <w:sz w:val="22"/>
                <w:szCs w:val="22"/>
              </w:rPr>
              <w:t xml:space="preserve">я с</w:t>
            </w:r>
            <w:r>
              <w:rPr>
                <w:b/>
                <w:color w:val="000000"/>
                <w:sz w:val="22"/>
                <w:szCs w:val="22"/>
              </w:rPr>
              <w:t xml:space="preserve">пецификации</w:t>
            </w:r>
            <w:r>
              <w:rPr>
                <w:b/>
                <w:sz w:val="22"/>
                <w:szCs w:val="22"/>
              </w:rPr>
              <w:t xml:space="preserve">  из </w:t>
            </w:r>
            <w:r>
              <w:rPr>
                <w:b/>
                <w:sz w:val="22"/>
                <w:szCs w:val="22"/>
              </w:rPr>
              <w:t xml:space="preserve">Технического задания</w:t>
            </w:r>
            <w:r/>
          </w:p>
        </w:tc>
        <w:tc>
          <w:tcPr>
            <w:gridSpan w:val="4"/>
            <w:shd w:val="clear" w:color="auto" w:fill="auto"/>
            <w:tcW w:w="63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Предложенная замена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3715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Пояснение</w:t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№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артикул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Кол-во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№</w:t>
            </w:r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артикул</w:t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Кол-во</w:t>
            </w:r>
            <w:r/>
          </w:p>
        </w:tc>
        <w:tc>
          <w:tcPr>
            <w:shd w:val="clear" w:color="auto" w:fill="auto"/>
            <w:tcW w:w="371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Arial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3715" w:type="dxa"/>
            <w:vAlign w:val="center"/>
            <w:textDirection w:val="lrTb"/>
            <w:noWrap w:val="false"/>
          </w:tcPr>
          <w:p>
            <w:pPr>
              <w:ind w:left="34"/>
              <w:rPr>
                <w:rFonts w:eastAsia="Arial"/>
                <w:sz w:val="22"/>
                <w:szCs w:val="22"/>
                <w:lang w:val="en-US"/>
              </w:rPr>
            </w:pPr>
            <w:r>
              <w:rPr>
                <w:rFonts w:eastAsia="Arial"/>
                <w:sz w:val="22"/>
                <w:szCs w:val="22"/>
                <w:lang w:val="en-US"/>
              </w:rPr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3715" w:type="dxa"/>
            <w:vAlign w:val="center"/>
            <w:textDirection w:val="lrTb"/>
            <w:noWrap w:val="false"/>
          </w:tcPr>
          <w:p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3715" w:type="dxa"/>
            <w:vAlign w:val="center"/>
            <w:textDirection w:val="lrTb"/>
            <w:noWrap w:val="false"/>
          </w:tcPr>
          <w:p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3715" w:type="dxa"/>
            <w:vAlign w:val="center"/>
            <w:textDirection w:val="lrTb"/>
            <w:noWrap w:val="false"/>
          </w:tcPr>
          <w:p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</w:tr>
      <w:tr>
        <w:trPr>
          <w:trHeight w:val="353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590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810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/>
          </w:p>
        </w:tc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3715" w:type="dxa"/>
            <w:vAlign w:val="center"/>
            <w:textDirection w:val="lrTb"/>
            <w:noWrap w:val="false"/>
          </w:tcPr>
          <w:p>
            <w:pPr>
              <w:pStyle w:val="734"/>
              <w:ind w:left="34"/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/>
    </w:p>
    <w:sectPr>
      <w:footnotePr/>
      <w:endnotePr/>
      <w:type w:val="nextPage"/>
      <w:pgSz w:w="16838" w:h="11906" w:orient="landscape"/>
      <w:pgMar w:top="1531" w:right="680" w:bottom="567" w:left="709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</w:t>
    </w:r>
    <w:r>
      <w:rPr>
        <w:sz w:val="24"/>
        <w:szCs w:val="24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74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6.%3. "/>
      <w:lvlJc w:val="left"/>
      <w:pPr>
        <w:ind w:left="1224" w:hanging="504"/>
      </w:pPr>
      <w:rPr>
        <w:rFonts w:hint="default" w:ascii="Times New Roman" w:hAnsi="Times New Roman"/>
        <w:b/>
        <w:i w:val="0"/>
        <w:sz w:val="22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637" w:hanging="360"/>
      </w:pPr>
      <w:rPr>
        <w:rFonts w:hint="default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97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281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925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320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3853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37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781" w:hanging="1800"/>
      </w:pPr>
      <w:rPr>
        <w:rFonts w:hint="default"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60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9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96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00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4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2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8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66" w:hanging="360"/>
      </w:pPr>
      <w:rPr>
        <w:rFonts w:hint="default"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18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0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2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4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6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8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0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26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russianLower"/>
      <w:pStyle w:val="759"/>
      <w:isLgl w:val="false"/>
      <w:suff w:val="tab"/>
      <w:lvlText w:val="%1)"/>
      <w:lvlJc w:val="left"/>
      <w:pPr>
        <w:ind w:left="1021" w:hanging="301"/>
        <w:tabs>
          <w:tab w:val="num" w:pos="1021" w:leader="none"/>
        </w:tabs>
      </w:pPr>
      <w:rPr>
        <w:rFonts w:hint="default" w:ascii="Arial" w:hAnsi="Arial"/>
        <w:b w:val="0"/>
        <w:i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37" w:hanging="360"/>
      </w:pPr>
      <w:rPr>
        <w:rFonts w:hint="default" w:ascii="Times New Roman" w:hAnsi="Times New Roman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1" w:hanging="70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203" w:hanging="70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745" w:hanging="70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6287" w:hanging="70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7829" w:hanging="70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9371" w:hanging="70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0912" w:hanging="70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2454" w:hanging="709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510" w:hanging="340"/>
        <w:tabs>
          <w:tab w:val="num" w:pos="510" w:leader="none"/>
        </w:tabs>
      </w:pPr>
      <w:rPr>
        <w:rFonts w:hint="default" w:ascii="Courier New" w:hAnsi="Courier New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046" w:hanging="360"/>
        <w:tabs>
          <w:tab w:val="num" w:pos="0" w:leader="none"/>
        </w:tabs>
      </w:pPr>
      <w:rPr>
        <w:rFonts w:hint="default" w:cs="Times New Roman"/>
      </w:rPr>
    </w:lvl>
    <w:lvl w:ilvl="2">
      <w:start w:val="6"/>
      <w:numFmt w:val="decimal"/>
      <w:isLgl/>
      <w:suff w:val="tab"/>
      <w:lvlText w:val="%1.%2.%3."/>
      <w:lvlJc w:val="left"/>
      <w:pPr>
        <w:ind w:left="1406" w:hanging="720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406" w:hanging="720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66" w:hanging="1080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766" w:hanging="1080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26" w:hanging="144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26" w:hanging="1440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486" w:hanging="1800"/>
        <w:tabs>
          <w:tab w:val="num" w:pos="0" w:leader="none"/>
        </w:tabs>
      </w:pPr>
      <w:rPr>
        <w:rFonts w:hint="default" w:cs="Times New Roman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8"/>
  </w:num>
  <w:num w:numId="3">
    <w:abstractNumId w:val="25"/>
  </w:num>
  <w:num w:numId="4">
    <w:abstractNumId w:val="23"/>
  </w:num>
  <w:num w:numId="5">
    <w:abstractNumId w:val="10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17"/>
  </w:num>
  <w:num w:numId="10">
    <w:abstractNumId w:val="1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4"/>
  </w:num>
  <w:num w:numId="15">
    <w:abstractNumId w:val="26"/>
  </w:num>
  <w:num w:numId="16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 w:numId="19">
    <w:abstractNumId w:val="4"/>
  </w:num>
  <w:num w:numId="20">
    <w:abstractNumId w:val="6"/>
  </w:num>
  <w:num w:numId="21">
    <w:abstractNumId w:val="20"/>
  </w:num>
  <w:num w:numId="22">
    <w:abstractNumId w:val="24"/>
  </w:num>
  <w:num w:numId="23">
    <w:abstractNumId w:val="5"/>
  </w:num>
  <w:num w:numId="24">
    <w:abstractNumId w:val="22"/>
  </w:num>
  <w:num w:numId="25">
    <w:abstractNumId w:val="12"/>
  </w:num>
  <w:num w:numId="26">
    <w:abstractNumId w:val="12"/>
  </w:num>
  <w:num w:numId="27">
    <w:abstractNumId w:val="9"/>
  </w:num>
  <w:num w:numId="28">
    <w:abstractNumId w:val="29"/>
  </w:num>
  <w:num w:numId="29">
    <w:abstractNumId w:val="15"/>
  </w:num>
  <w:num w:numId="30">
    <w:abstractNumId w:val="12"/>
  </w:num>
  <w:num w:numId="31">
    <w:abstractNumId w:val="27"/>
  </w:num>
  <w:num w:numId="32">
    <w:abstractNumId w:val="30"/>
  </w:num>
  <w:num w:numId="33">
    <w:abstractNumId w:val="19"/>
  </w:num>
  <w:num w:numId="34">
    <w:abstractNumId w:val="7"/>
  </w:num>
  <w:num w:numId="35">
    <w:abstractNumId w:val="11"/>
  </w:num>
  <w:num w:numId="36">
    <w:abstractNumId w:val="0"/>
  </w:num>
  <w:num w:numId="37">
    <w:abstractNumId w:val="12"/>
  </w:num>
  <w:num w:numId="38">
    <w:abstractNumId w:val="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731"/>
    <w:link w:val="728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731"/>
    <w:link w:val="729"/>
    <w:uiPriority w:val="9"/>
    <w:rPr>
      <w:rFonts w:ascii="Arial" w:hAnsi="Arial" w:eastAsia="Arial" w:cs="Arial"/>
      <w:sz w:val="34"/>
    </w:rPr>
  </w:style>
  <w:style w:type="paragraph" w:styleId="16">
    <w:name w:val="Heading 3"/>
    <w:basedOn w:val="727"/>
    <w:next w:val="72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731"/>
    <w:link w:val="16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731"/>
    <w:link w:val="730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727"/>
    <w:next w:val="72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731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727"/>
    <w:next w:val="72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731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727"/>
    <w:next w:val="72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731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727"/>
    <w:next w:val="72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731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727"/>
    <w:next w:val="72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731"/>
    <w:link w:val="28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731"/>
    <w:link w:val="742"/>
    <w:uiPriority w:val="10"/>
    <w:rPr>
      <w:sz w:val="48"/>
      <w:szCs w:val="48"/>
    </w:rPr>
  </w:style>
  <w:style w:type="paragraph" w:styleId="35">
    <w:name w:val="Subtitle"/>
    <w:basedOn w:val="727"/>
    <w:next w:val="72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731"/>
    <w:link w:val="35"/>
    <w:uiPriority w:val="11"/>
    <w:rPr>
      <w:sz w:val="24"/>
      <w:szCs w:val="24"/>
    </w:rPr>
  </w:style>
  <w:style w:type="paragraph" w:styleId="37">
    <w:name w:val="Quote"/>
    <w:basedOn w:val="727"/>
    <w:next w:val="72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727"/>
    <w:next w:val="72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731"/>
    <w:link w:val="761"/>
    <w:uiPriority w:val="99"/>
  </w:style>
  <w:style w:type="character" w:styleId="44">
    <w:name w:val="Footer Char"/>
    <w:basedOn w:val="731"/>
    <w:link w:val="763"/>
    <w:uiPriority w:val="99"/>
  </w:style>
  <w:style w:type="paragraph" w:styleId="45">
    <w:name w:val="Caption"/>
    <w:basedOn w:val="727"/>
    <w:next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763"/>
    <w:uiPriority w:val="99"/>
  </w:style>
  <w:style w:type="table" w:styleId="48">
    <w:name w:val="Table Grid Light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727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731"/>
    <w:uiPriority w:val="99"/>
    <w:unhideWhenUsed/>
    <w:rPr>
      <w:vertAlign w:val="superscript"/>
    </w:rPr>
  </w:style>
  <w:style w:type="character" w:styleId="178">
    <w:name w:val="Endnote Text Char"/>
    <w:link w:val="769"/>
    <w:uiPriority w:val="99"/>
    <w:rPr>
      <w:sz w:val="20"/>
    </w:rPr>
  </w:style>
  <w:style w:type="paragraph" w:styleId="183">
    <w:name w:val="toc 4"/>
    <w:basedOn w:val="727"/>
    <w:next w:val="72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727"/>
    <w:next w:val="72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727"/>
    <w:next w:val="72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727"/>
    <w:next w:val="72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727"/>
    <w:next w:val="727"/>
    <w:uiPriority w:val="39"/>
    <w:unhideWhenUsed/>
    <w:pPr>
      <w:ind w:left="1984" w:right="0" w:firstLine="0"/>
      <w:spacing w:after="57"/>
    </w:pPr>
  </w:style>
  <w:style w:type="paragraph" w:styleId="190">
    <w:name w:val="table of figures"/>
    <w:basedOn w:val="727"/>
    <w:next w:val="727"/>
    <w:uiPriority w:val="99"/>
    <w:unhideWhenUsed/>
    <w:pPr>
      <w:spacing w:after="0" w:afterAutospacing="0"/>
    </w:pPr>
  </w:style>
  <w:style w:type="paragraph" w:styleId="727" w:default="1">
    <w:name w:val="Normal"/>
    <w:qFormat/>
    <w:rPr>
      <w:rFonts w:ascii="Times New Roman" w:hAnsi="Times New Roman"/>
      <w:sz w:val="28"/>
      <w:szCs w:val="28"/>
    </w:rPr>
  </w:style>
  <w:style w:type="paragraph" w:styleId="728">
    <w:name w:val="Heading 1"/>
    <w:basedOn w:val="727"/>
    <w:next w:val="727"/>
    <w:link w:val="741"/>
    <w:qFormat/>
    <w:pPr>
      <w:keepLines/>
      <w:keepNext/>
      <w:spacing w:before="480"/>
      <w:outlineLvl w:val="0"/>
    </w:pPr>
    <w:rPr>
      <w:rFonts w:ascii="Cambria" w:hAnsi="Cambria" w:eastAsia="Times New Roman"/>
      <w:b/>
      <w:bCs/>
      <w:color w:val="365f91"/>
    </w:rPr>
  </w:style>
  <w:style w:type="paragraph" w:styleId="729">
    <w:name w:val="Heading 2"/>
    <w:basedOn w:val="727"/>
    <w:next w:val="727"/>
    <w:link w:val="784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30">
    <w:name w:val="Heading 4"/>
    <w:basedOn w:val="727"/>
    <w:next w:val="727"/>
    <w:link w:val="736"/>
    <w:uiPriority w:val="9"/>
    <w:semiHidden/>
    <w:unhideWhenUsed/>
    <w:qFormat/>
    <w:pPr>
      <w:keepLines/>
      <w:keepNext/>
      <w:spacing w:before="200"/>
      <w:outlineLvl w:val="3"/>
    </w:pPr>
    <w:rPr>
      <w:rFonts w:ascii="Cambria" w:hAnsi="Cambria" w:eastAsia="Times New Roman"/>
      <w:b/>
      <w:bCs/>
      <w:i/>
      <w:iCs/>
      <w:color w:val="4f81bd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paragraph" w:styleId="734">
    <w:name w:val="List Paragraph"/>
    <w:basedOn w:val="727"/>
    <w:link w:val="746"/>
    <w:uiPriority w:val="34"/>
    <w:qFormat/>
    <w:pPr>
      <w:contextualSpacing/>
      <w:ind w:left="720"/>
    </w:pPr>
  </w:style>
  <w:style w:type="paragraph" w:styleId="735" w:customStyle="1">
    <w:name w:val="Стиль По ширине2"/>
    <w:basedOn w:val="727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styleId="736" w:customStyle="1">
    <w:name w:val="Заголовок 4 Знак"/>
    <w:link w:val="730"/>
    <w:uiPriority w:val="9"/>
    <w:semiHidden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37">
    <w:name w:val="HTML Preformatted"/>
    <w:basedOn w:val="727"/>
    <w:link w:val="738"/>
    <w:uiPriority w:val="9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/>
      <w:sz w:val="20"/>
      <w:szCs w:val="20"/>
    </w:rPr>
  </w:style>
  <w:style w:type="character" w:styleId="738" w:customStyle="1">
    <w:name w:val="Стандартный HTML Знак"/>
    <w:link w:val="737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739">
    <w:name w:val="Hyperlink"/>
    <w:uiPriority w:val="99"/>
    <w:unhideWhenUsed/>
    <w:rPr>
      <w:color w:val="0000ff"/>
      <w:u w:val="single"/>
    </w:rPr>
  </w:style>
  <w:style w:type="paragraph" w:styleId="740">
    <w:name w:val="toc 1"/>
    <w:basedOn w:val="727"/>
    <w:next w:val="727"/>
    <w:uiPriority w:val="39"/>
    <w:unhideWhenUsed/>
    <w:qFormat/>
    <w:rPr>
      <w:rFonts w:eastAsia="Times New Roman"/>
      <w:sz w:val="24"/>
      <w:szCs w:val="24"/>
    </w:rPr>
  </w:style>
  <w:style w:type="character" w:styleId="741" w:customStyle="1">
    <w:name w:val="Заголовок 1 Знак"/>
    <w:link w:val="728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42">
    <w:name w:val="Title"/>
    <w:basedOn w:val="727"/>
    <w:next w:val="727"/>
    <w:link w:val="743"/>
    <w:qFormat/>
    <w:pPr>
      <w:jc w:val="center"/>
      <w:spacing w:before="240" w:after="60" w:line="276" w:lineRule="auto"/>
      <w:outlineLvl w:val="0"/>
    </w:pPr>
    <w:rPr>
      <w:rFonts w:ascii="Cambria" w:hAnsi="Cambria" w:eastAsia="Times New Roman"/>
      <w:b/>
      <w:bCs/>
      <w:sz w:val="32"/>
      <w:szCs w:val="32"/>
      <w:lang w:eastAsia="ar-SA"/>
    </w:rPr>
  </w:style>
  <w:style w:type="character" w:styleId="743" w:customStyle="1">
    <w:name w:val="Заголовок Знак"/>
    <w:link w:val="742"/>
    <w:rPr>
      <w:rFonts w:ascii="Cambria" w:hAnsi="Cambria" w:eastAsia="Times New Roman" w:cs="Times New Roman"/>
      <w:b/>
      <w:bCs/>
      <w:sz w:val="32"/>
      <w:szCs w:val="32"/>
      <w:lang w:eastAsia="ar-SA"/>
    </w:rPr>
  </w:style>
  <w:style w:type="paragraph" w:styleId="744" w:customStyle="1">
    <w:name w:val="Оглавление!!!!"/>
    <w:basedOn w:val="734"/>
    <w:link w:val="747"/>
    <w:qFormat/>
    <w:pPr>
      <w:numPr>
        <w:numId w:val="1"/>
      </w:numPr>
    </w:pPr>
    <w:rPr>
      <w:b/>
    </w:rPr>
  </w:style>
  <w:style w:type="paragraph" w:styleId="745">
    <w:name w:val="TOC Heading"/>
    <w:basedOn w:val="728"/>
    <w:next w:val="727"/>
    <w:uiPriority w:val="39"/>
    <w:unhideWhenUsed/>
    <w:qFormat/>
    <w:pPr>
      <w:spacing w:line="276" w:lineRule="auto"/>
      <w:outlineLvl w:val="9"/>
    </w:pPr>
  </w:style>
  <w:style w:type="character" w:styleId="746" w:customStyle="1">
    <w:name w:val="Абзац списка Знак"/>
    <w:link w:val="734"/>
    <w:uiPriority w:val="34"/>
    <w:qFormat/>
    <w:rPr>
      <w:rFonts w:ascii="Times New Roman" w:hAnsi="Times New Roman" w:eastAsia="Calibri" w:cs="Times New Roman"/>
      <w:sz w:val="28"/>
      <w:szCs w:val="28"/>
      <w:lang w:eastAsia="ru-RU"/>
    </w:rPr>
  </w:style>
  <w:style w:type="character" w:styleId="747" w:customStyle="1">
    <w:name w:val="Оглавление!!!! Знак"/>
    <w:link w:val="744"/>
    <w:rPr>
      <w:rFonts w:ascii="Times New Roman" w:hAnsi="Times New Roman"/>
      <w:b/>
      <w:sz w:val="28"/>
      <w:szCs w:val="28"/>
    </w:rPr>
  </w:style>
  <w:style w:type="paragraph" w:styleId="748">
    <w:name w:val="Balloon Text"/>
    <w:basedOn w:val="727"/>
    <w:link w:val="749"/>
    <w:uiPriority w:val="99"/>
    <w:semiHidden/>
    <w:unhideWhenUsed/>
    <w:rPr>
      <w:rFonts w:ascii="Tahoma" w:hAnsi="Tahoma"/>
      <w:sz w:val="16"/>
      <w:szCs w:val="16"/>
    </w:rPr>
  </w:style>
  <w:style w:type="character" w:styleId="749" w:customStyle="1">
    <w:name w:val="Текст выноски Знак"/>
    <w:link w:val="748"/>
    <w:uiPriority w:val="99"/>
    <w:semiHidden/>
    <w:rPr>
      <w:rFonts w:ascii="Tahoma" w:hAnsi="Tahoma" w:eastAsia="Calibri" w:cs="Tahoma"/>
      <w:sz w:val="16"/>
      <w:szCs w:val="16"/>
      <w:lang w:eastAsia="ru-RU"/>
    </w:rPr>
  </w:style>
  <w:style w:type="paragraph" w:styleId="750">
    <w:name w:val="toc 2"/>
    <w:basedOn w:val="727"/>
    <w:next w:val="727"/>
    <w:uiPriority w:val="39"/>
    <w:semiHidden/>
    <w:unhideWhenUsed/>
    <w:qFormat/>
    <w:pPr>
      <w:ind w:left="220"/>
      <w:spacing w:after="100" w:line="276" w:lineRule="auto"/>
    </w:pPr>
    <w:rPr>
      <w:rFonts w:ascii="Calibri" w:hAnsi="Calibri" w:eastAsia="Times New Roman"/>
      <w:sz w:val="22"/>
      <w:szCs w:val="22"/>
    </w:rPr>
  </w:style>
  <w:style w:type="paragraph" w:styleId="751">
    <w:name w:val="toc 9"/>
    <w:basedOn w:val="727"/>
    <w:next w:val="727"/>
    <w:uiPriority w:val="39"/>
    <w:semiHidden/>
    <w:unhideWhenUsed/>
    <w:pPr>
      <w:ind w:left="2240"/>
      <w:spacing w:after="100"/>
    </w:pPr>
  </w:style>
  <w:style w:type="paragraph" w:styleId="752">
    <w:name w:val="toc 3"/>
    <w:basedOn w:val="727"/>
    <w:next w:val="727"/>
    <w:uiPriority w:val="39"/>
    <w:semiHidden/>
    <w:unhideWhenUsed/>
    <w:qFormat/>
    <w:pPr>
      <w:ind w:left="440"/>
      <w:spacing w:after="100" w:line="276" w:lineRule="auto"/>
    </w:pPr>
    <w:rPr>
      <w:rFonts w:ascii="Calibri" w:hAnsi="Calibri" w:eastAsia="Times New Roman"/>
      <w:sz w:val="22"/>
      <w:szCs w:val="22"/>
    </w:rPr>
  </w:style>
  <w:style w:type="table" w:styleId="753">
    <w:name w:val="Table Grid"/>
    <w:basedOn w:val="73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54" w:customStyle="1">
    <w:name w:val="Абзац списка1"/>
    <w:basedOn w:val="727"/>
    <w:link w:val="779"/>
    <w:pPr>
      <w:ind w:left="720"/>
    </w:pPr>
    <w:rPr>
      <w:szCs w:val="20"/>
    </w:rPr>
  </w:style>
  <w:style w:type="paragraph" w:styleId="755">
    <w:name w:val="Body Text"/>
    <w:basedOn w:val="727"/>
    <w:link w:val="756"/>
    <w:pPr>
      <w:jc w:val="both"/>
      <w:widowControl w:val="off"/>
    </w:pPr>
    <w:rPr>
      <w:rFonts w:eastAsia="Times New Roman"/>
      <w:color w:val="000000"/>
      <w:sz w:val="24"/>
      <w:szCs w:val="24"/>
      <w:lang w:val="en-US"/>
    </w:rPr>
  </w:style>
  <w:style w:type="character" w:styleId="756" w:customStyle="1">
    <w:name w:val="Основной текст Знак"/>
    <w:link w:val="755"/>
    <w:rPr>
      <w:rFonts w:ascii="Times New Roman" w:hAnsi="Times New Roman" w:eastAsia="Times New Roman" w:cs="Arial"/>
      <w:color w:val="000000"/>
      <w:sz w:val="24"/>
      <w:szCs w:val="24"/>
      <w:lang w:val="en-US" w:eastAsia="ru-RU"/>
    </w:rPr>
  </w:style>
  <w:style w:type="paragraph" w:styleId="757">
    <w:name w:val="Plain Text"/>
    <w:basedOn w:val="727"/>
    <w:link w:val="758"/>
    <w:uiPriority w:val="99"/>
    <w:pPr>
      <w:jc w:val="both"/>
    </w:pPr>
    <w:rPr>
      <w:rFonts w:ascii="Courier New" w:hAnsi="Courier New" w:eastAsia="Times New Roman"/>
      <w:color w:val="000000"/>
      <w:sz w:val="20"/>
      <w:szCs w:val="20"/>
      <w:lang w:val="en-US"/>
    </w:rPr>
  </w:style>
  <w:style w:type="character" w:styleId="758" w:customStyle="1">
    <w:name w:val="Текст Знак"/>
    <w:link w:val="757"/>
    <w:uiPriority w:val="99"/>
    <w:rPr>
      <w:rFonts w:ascii="Courier New" w:hAnsi="Courier New" w:eastAsia="Times New Roman" w:cs="Times New Roman"/>
      <w:color w:val="000000"/>
      <w:sz w:val="20"/>
      <w:szCs w:val="20"/>
      <w:lang w:val="en-US"/>
    </w:rPr>
  </w:style>
  <w:style w:type="paragraph" w:styleId="759" w:customStyle="1">
    <w:name w:val="List Alpha"/>
    <w:basedOn w:val="760"/>
    <w:pPr>
      <w:numPr>
        <w:numId w:val="2"/>
      </w:numPr>
      <w:jc w:val="both"/>
      <w:spacing w:before="100" w:beforeAutospacing="1" w:after="100" w:afterAutospacing="1"/>
      <w:widowControl w:val="off"/>
    </w:pPr>
    <w:rPr>
      <w:rFonts w:ascii="Arial" w:hAnsi="Arial" w:eastAsia="Times New Roman"/>
      <w:sz w:val="22"/>
      <w:szCs w:val="20"/>
      <w:lang w:val="en-US" w:eastAsia="en-US"/>
    </w:rPr>
  </w:style>
  <w:style w:type="paragraph" w:styleId="760">
    <w:name w:val="List"/>
    <w:basedOn w:val="727"/>
    <w:uiPriority w:val="99"/>
    <w:semiHidden/>
    <w:unhideWhenUsed/>
    <w:pPr>
      <w:contextualSpacing/>
      <w:ind w:left="283" w:hanging="283"/>
    </w:pPr>
  </w:style>
  <w:style w:type="paragraph" w:styleId="761">
    <w:name w:val="Header"/>
    <w:basedOn w:val="727"/>
    <w:link w:val="76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2" w:customStyle="1">
    <w:name w:val="Верхний колонтитул Знак"/>
    <w:link w:val="761"/>
    <w:uiPriority w:val="99"/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763">
    <w:name w:val="Footer"/>
    <w:basedOn w:val="727"/>
    <w:link w:val="7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4" w:customStyle="1">
    <w:name w:val="Нижний колонтитул Знак"/>
    <w:link w:val="763"/>
    <w:uiPriority w:val="99"/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765">
    <w:name w:val="Body Text Indent"/>
    <w:basedOn w:val="727"/>
    <w:link w:val="766"/>
    <w:unhideWhenUsed/>
    <w:pPr>
      <w:ind w:left="283"/>
      <w:spacing w:after="120"/>
    </w:pPr>
  </w:style>
  <w:style w:type="character" w:styleId="766" w:customStyle="1">
    <w:name w:val="Основной текст с отступом Знак"/>
    <w:link w:val="765"/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767" w:customStyle="1">
    <w:name w:val="Body Text 21"/>
    <w:basedOn w:val="727"/>
    <w:pPr>
      <w:ind w:firstLine="709"/>
      <w:jc w:val="both"/>
    </w:pPr>
    <w:rPr>
      <w:rFonts w:eastAsia="Times New Roman"/>
      <w:sz w:val="24"/>
      <w:szCs w:val="20"/>
    </w:rPr>
  </w:style>
  <w:style w:type="paragraph" w:styleId="768">
    <w:name w:val="Normal (Web)"/>
    <w:basedOn w:val="727"/>
    <w:uiPriority w:val="99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769">
    <w:name w:val="endnote text"/>
    <w:basedOn w:val="727"/>
    <w:link w:val="770"/>
    <w:uiPriority w:val="99"/>
    <w:semiHidden/>
    <w:unhideWhenUsed/>
    <w:rPr>
      <w:sz w:val="20"/>
      <w:szCs w:val="20"/>
    </w:rPr>
  </w:style>
  <w:style w:type="character" w:styleId="770" w:customStyle="1">
    <w:name w:val="Текст концевой сноски Знак"/>
    <w:link w:val="769"/>
    <w:uiPriority w:val="99"/>
    <w:semiHidden/>
    <w:rPr>
      <w:rFonts w:ascii="Times New Roman" w:hAnsi="Times New Roman"/>
    </w:rPr>
  </w:style>
  <w:style w:type="character" w:styleId="771">
    <w:name w:val="endnote reference"/>
    <w:uiPriority w:val="99"/>
    <w:semiHidden/>
    <w:unhideWhenUsed/>
    <w:rPr>
      <w:vertAlign w:val="superscript"/>
    </w:rPr>
  </w:style>
  <w:style w:type="paragraph" w:styleId="772">
    <w:name w:val="No Spacing"/>
    <w:uiPriority w:val="1"/>
    <w:qFormat/>
    <w:rPr>
      <w:rFonts w:ascii="Times New Roman" w:hAnsi="Times New Roman"/>
      <w:sz w:val="28"/>
      <w:szCs w:val="28"/>
    </w:rPr>
  </w:style>
  <w:style w:type="paragraph" w:styleId="773" w:customStyle="1">
    <w:name w:val="ConsNormal"/>
    <w:pPr>
      <w:ind w:firstLine="720"/>
      <w:widowControl w:val="off"/>
    </w:pPr>
    <w:rPr>
      <w:rFonts w:ascii="Arial" w:hAnsi="Arial" w:eastAsia="Arial" w:cs="Arial"/>
      <w:lang w:eastAsia="ar-SA"/>
    </w:rPr>
  </w:style>
  <w:style w:type="character" w:styleId="774">
    <w:name w:val="annotation reference"/>
    <w:uiPriority w:val="99"/>
    <w:semiHidden/>
    <w:unhideWhenUsed/>
    <w:rPr>
      <w:sz w:val="16"/>
      <w:szCs w:val="16"/>
    </w:rPr>
  </w:style>
  <w:style w:type="paragraph" w:styleId="775">
    <w:name w:val="annotation text"/>
    <w:basedOn w:val="727"/>
    <w:link w:val="776"/>
    <w:uiPriority w:val="99"/>
    <w:semiHidden/>
    <w:unhideWhenUsed/>
    <w:rPr>
      <w:sz w:val="20"/>
      <w:szCs w:val="20"/>
    </w:rPr>
  </w:style>
  <w:style w:type="character" w:styleId="776" w:customStyle="1">
    <w:name w:val="Текст примечания Знак"/>
    <w:link w:val="775"/>
    <w:uiPriority w:val="99"/>
    <w:semiHidden/>
    <w:rPr>
      <w:rFonts w:ascii="Times New Roman" w:hAnsi="Times New Roman"/>
    </w:rPr>
  </w:style>
  <w:style w:type="paragraph" w:styleId="777">
    <w:name w:val="annotation subject"/>
    <w:basedOn w:val="775"/>
    <w:next w:val="775"/>
    <w:link w:val="778"/>
    <w:uiPriority w:val="99"/>
    <w:semiHidden/>
    <w:unhideWhenUsed/>
    <w:rPr>
      <w:b/>
      <w:bCs/>
    </w:rPr>
  </w:style>
  <w:style w:type="character" w:styleId="778" w:customStyle="1">
    <w:name w:val="Тема примечания Знак"/>
    <w:link w:val="777"/>
    <w:uiPriority w:val="99"/>
    <w:semiHidden/>
    <w:rPr>
      <w:rFonts w:ascii="Times New Roman" w:hAnsi="Times New Roman"/>
      <w:b/>
      <w:bCs/>
    </w:rPr>
  </w:style>
  <w:style w:type="character" w:styleId="779" w:customStyle="1">
    <w:name w:val="List Paragraph Char"/>
    <w:link w:val="754"/>
    <w:rPr>
      <w:rFonts w:ascii="Times New Roman" w:hAnsi="Times New Roman"/>
      <w:sz w:val="28"/>
    </w:rPr>
  </w:style>
  <w:style w:type="character" w:styleId="780" w:customStyle="1">
    <w:name w:val="Font Style30"/>
    <w:basedOn w:val="73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781" w:customStyle="1">
    <w:name w:val="Обычный_Left"/>
    <w:basedOn w:val="727"/>
    <w:pPr>
      <w:spacing w:before="240" w:after="240"/>
    </w:pPr>
    <w:rPr>
      <w:rFonts w:eastAsia="Times New Roman"/>
      <w:szCs w:val="24"/>
    </w:rPr>
  </w:style>
  <w:style w:type="character" w:styleId="782">
    <w:name w:val="Intense Emphasis"/>
    <w:basedOn w:val="731"/>
    <w:uiPriority w:val="21"/>
    <w:qFormat/>
    <w:rPr>
      <w:b/>
      <w:bCs/>
      <w:i/>
      <w:iCs/>
      <w:color w:val="4f81bd" w:themeColor="accent1"/>
    </w:rPr>
  </w:style>
  <w:style w:type="character" w:styleId="783">
    <w:name w:val="Strong"/>
    <w:basedOn w:val="731"/>
    <w:uiPriority w:val="22"/>
    <w:qFormat/>
    <w:rPr>
      <w:b/>
      <w:bCs/>
    </w:rPr>
  </w:style>
  <w:style w:type="character" w:styleId="784" w:customStyle="1">
    <w:name w:val="Заголовок 2 Знак"/>
    <w:basedOn w:val="731"/>
    <w:link w:val="729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85" w:customStyle="1">
    <w:name w:val="Table Paragraph"/>
    <w:basedOn w:val="727"/>
    <w:uiPriority w:val="1"/>
    <w:qFormat/>
    <w:pPr>
      <w:widowControl w:val="off"/>
    </w:pPr>
    <w:rPr>
      <w:rFonts w:eastAsia="Times New Roman"/>
      <w:sz w:val="22"/>
      <w:szCs w:val="22"/>
      <w:lang w:eastAsia="en-US"/>
    </w:rPr>
  </w:style>
  <w:style w:type="paragraph" w:styleId="786" w:customStyle="1">
    <w:name w:val="!ТЛ_Утверждаю"/>
    <w:basedOn w:val="727"/>
    <w:link w:val="787"/>
    <w:qFormat/>
    <w:pPr>
      <w:jc w:val="right"/>
      <w:spacing w:after="720"/>
    </w:pPr>
    <w:rPr>
      <w:rFonts w:eastAsia="Times New Roman"/>
    </w:rPr>
  </w:style>
  <w:style w:type="character" w:styleId="787" w:customStyle="1">
    <w:name w:val="!ТЛ_Утверждаю Знак"/>
    <w:basedOn w:val="731"/>
    <w:link w:val="786"/>
    <w:rPr>
      <w:rFonts w:ascii="Times New Roman" w:hAnsi="Times New Roman" w:eastAsia="Times New Roman"/>
      <w:sz w:val="28"/>
      <w:szCs w:val="28"/>
    </w:rPr>
  </w:style>
  <w:style w:type="paragraph" w:styleId="788" w:customStyle="1">
    <w:name w:val="!ТЛ_Подпись"/>
    <w:basedOn w:val="727"/>
    <w:link w:val="789"/>
    <w:qFormat/>
    <w:pPr>
      <w:spacing w:after="240"/>
    </w:pPr>
    <w:rPr>
      <w:rFonts w:eastAsia="Times New Roman"/>
    </w:rPr>
  </w:style>
  <w:style w:type="character" w:styleId="789" w:customStyle="1">
    <w:name w:val="!ТЛ_Подпись Знак"/>
    <w:basedOn w:val="731"/>
    <w:link w:val="788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43C6D-2590-4DD2-B35E-2CC24336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revision>7</cp:revision>
  <dcterms:created xsi:type="dcterms:W3CDTF">2023-04-03T12:11:00Z</dcterms:created>
  <dcterms:modified xsi:type="dcterms:W3CDTF">2023-06-20T08:44:24Z</dcterms:modified>
</cp:coreProperties>
</file>